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23" w:rsidRDefault="00AA6743" w:rsidP="000B4FD2">
      <w:r>
        <w:rPr>
          <w:noProof/>
        </w:rPr>
        <w:drawing>
          <wp:anchor distT="0" distB="0" distL="114300" distR="114300" simplePos="0" relativeHeight="251653120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000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4939"/>
      </w:tblGrid>
      <w:tr w:rsidR="00C12523">
        <w:tc>
          <w:tcPr>
            <w:tcW w:w="0" w:type="auto"/>
          </w:tcPr>
          <w:p w:rsidR="00C12523" w:rsidRPr="00E411D2" w:rsidRDefault="00F00520" w:rsidP="000B4FD2">
            <w:pPr>
              <w:pStyle w:val="NoSpacing"/>
              <w:rPr>
                <w:rFonts w:ascii="Cambria" w:hAnsi="Cambria"/>
                <w:b/>
                <w:sz w:val="72"/>
                <w:szCs w:val="72"/>
              </w:rPr>
            </w:pPr>
            <w:r>
              <w:rPr>
                <w:rFonts w:ascii="Cambria" w:hAnsi="Cambria"/>
                <w:b/>
                <w:sz w:val="72"/>
                <w:szCs w:val="72"/>
                <w:lang w:val="bg-BG"/>
              </w:rPr>
              <w:t>ТРИ</w:t>
            </w:r>
            <w:r w:rsidR="00921B9B">
              <w:rPr>
                <w:rFonts w:ascii="Cambria" w:hAnsi="Cambria"/>
                <w:b/>
                <w:sz w:val="72"/>
                <w:szCs w:val="72"/>
                <w:lang w:val="bg-BG"/>
              </w:rPr>
              <w:t>МЕСЕЧЕН</w:t>
            </w:r>
            <w:r>
              <w:rPr>
                <w:rFonts w:ascii="Cambria" w:hAnsi="Cambria"/>
                <w:b/>
                <w:sz w:val="72"/>
                <w:szCs w:val="72"/>
                <w:lang w:val="bg-BG"/>
              </w:rPr>
              <w:t xml:space="preserve"> ОТЧЕТ</w:t>
            </w:r>
            <w:r w:rsidR="00C12523" w:rsidRPr="00E411D2">
              <w:rPr>
                <w:rFonts w:ascii="Cambria" w:hAnsi="Cambria"/>
                <w:b/>
                <w:sz w:val="72"/>
                <w:szCs w:val="72"/>
                <w:lang w:val="bg-BG"/>
              </w:rPr>
              <w:t xml:space="preserve"> </w:t>
            </w:r>
          </w:p>
        </w:tc>
      </w:tr>
      <w:tr w:rsidR="00C12523">
        <w:tc>
          <w:tcPr>
            <w:tcW w:w="0" w:type="auto"/>
          </w:tcPr>
          <w:p w:rsidR="00C12523" w:rsidRPr="00E411D2" w:rsidRDefault="00C12523" w:rsidP="000B4FD2">
            <w:pPr>
              <w:pStyle w:val="NoSpacing"/>
              <w:rPr>
                <w:b/>
                <w:sz w:val="40"/>
                <w:szCs w:val="40"/>
              </w:rPr>
            </w:pPr>
            <w:r w:rsidRPr="00E411D2">
              <w:rPr>
                <w:b/>
                <w:sz w:val="40"/>
                <w:szCs w:val="40"/>
                <w:lang w:val="bg-BG"/>
              </w:rPr>
              <w:t>НА КОМИСИЯТА ПО ПОМИЛВАНЕТО</w:t>
            </w:r>
          </w:p>
        </w:tc>
      </w:tr>
      <w:tr w:rsidR="00C12523">
        <w:tc>
          <w:tcPr>
            <w:tcW w:w="0" w:type="auto"/>
          </w:tcPr>
          <w:p w:rsidR="00C12523" w:rsidRPr="00E411D2" w:rsidRDefault="00705C66" w:rsidP="00921B9B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01</w:t>
            </w:r>
            <w:r w:rsidR="002F23FE">
              <w:rPr>
                <w:b/>
                <w:sz w:val="28"/>
                <w:szCs w:val="28"/>
                <w:lang w:val="bg-BG"/>
              </w:rPr>
              <w:t xml:space="preserve"> </w:t>
            </w:r>
            <w:r w:rsidR="00DC1CBF">
              <w:rPr>
                <w:b/>
                <w:sz w:val="28"/>
                <w:szCs w:val="28"/>
                <w:lang w:val="bg-BG"/>
              </w:rPr>
              <w:t>януари</w:t>
            </w:r>
            <w:r w:rsidR="002F23FE">
              <w:rPr>
                <w:b/>
                <w:sz w:val="28"/>
                <w:szCs w:val="28"/>
                <w:lang w:val="bg-BG"/>
              </w:rPr>
              <w:t xml:space="preserve"> –</w:t>
            </w:r>
            <w:r w:rsidR="00921B9B">
              <w:rPr>
                <w:b/>
                <w:sz w:val="28"/>
                <w:szCs w:val="28"/>
                <w:lang w:val="bg-BG"/>
              </w:rPr>
              <w:t xml:space="preserve"> 31</w:t>
            </w:r>
            <w:r w:rsidR="00DC1CBF">
              <w:rPr>
                <w:b/>
                <w:sz w:val="28"/>
                <w:szCs w:val="28"/>
                <w:lang w:val="bg-BG"/>
              </w:rPr>
              <w:t xml:space="preserve"> </w:t>
            </w:r>
            <w:r w:rsidR="00921B9B">
              <w:rPr>
                <w:b/>
                <w:sz w:val="28"/>
                <w:szCs w:val="28"/>
                <w:lang w:val="bg-BG"/>
              </w:rPr>
              <w:t>март</w:t>
            </w:r>
            <w:r w:rsidR="002F23FE">
              <w:rPr>
                <w:b/>
                <w:sz w:val="28"/>
                <w:szCs w:val="28"/>
                <w:lang w:val="bg-BG"/>
              </w:rPr>
              <w:t xml:space="preserve"> 201</w:t>
            </w:r>
            <w:r w:rsidR="008A2A31">
              <w:rPr>
                <w:b/>
                <w:sz w:val="28"/>
                <w:szCs w:val="28"/>
                <w:lang w:val="bg-BG"/>
              </w:rPr>
              <w:t>5</w:t>
            </w:r>
            <w:r w:rsidR="002F23FE">
              <w:rPr>
                <w:b/>
                <w:sz w:val="28"/>
                <w:szCs w:val="28"/>
                <w:lang w:val="bg-BG"/>
              </w:rPr>
              <w:t xml:space="preserve"> г.</w:t>
            </w:r>
          </w:p>
        </w:tc>
      </w:tr>
    </w:tbl>
    <w:p w:rsidR="00C12523" w:rsidRPr="005808B5" w:rsidRDefault="00C12523" w:rsidP="000B4FD2">
      <w:pPr>
        <w:rPr>
          <w:rFonts w:ascii="Calibri" w:hAnsi="Calibri" w:cs="Calibri"/>
          <w:sz w:val="26"/>
          <w:szCs w:val="26"/>
        </w:rPr>
      </w:pPr>
      <w:r w:rsidRPr="005808B5">
        <w:rPr>
          <w:rFonts w:ascii="Calibri" w:hAnsi="Calibri" w:cs="Calibri"/>
          <w:sz w:val="26"/>
          <w:szCs w:val="26"/>
        </w:rPr>
        <w:t>Администрация на Президента</w:t>
      </w: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Pr="001F67EB" w:rsidRDefault="001F67EB" w:rsidP="001F67EB">
      <w:pPr>
        <w:ind w:left="708" w:firstLine="708"/>
        <w:rPr>
          <w:b/>
          <w:sz w:val="26"/>
          <w:szCs w:val="26"/>
        </w:rPr>
      </w:pPr>
      <w:r w:rsidRPr="001F67EB">
        <w:rPr>
          <w:b/>
          <w:sz w:val="26"/>
          <w:szCs w:val="26"/>
        </w:rPr>
        <w:t>СЪДЪРЖАНИЕ:</w:t>
      </w:r>
    </w:p>
    <w:p w:rsidR="001F67EB" w:rsidRDefault="001F67EB" w:rsidP="001F67EB">
      <w:pPr>
        <w:pStyle w:val="ListParagraph"/>
        <w:ind w:left="1776"/>
        <w:rPr>
          <w:sz w:val="26"/>
          <w:szCs w:val="26"/>
        </w:rPr>
      </w:pPr>
    </w:p>
    <w:p w:rsidR="00921B9B" w:rsidRDefault="001F67EB" w:rsidP="00921B9B">
      <w:pPr>
        <w:pStyle w:val="ListParagraph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Дейност по разглеждане на молби за помилване</w:t>
      </w:r>
      <w:r w:rsidR="00921B9B" w:rsidRPr="00921B9B">
        <w:rPr>
          <w:sz w:val="26"/>
          <w:szCs w:val="26"/>
        </w:rPr>
        <w:t xml:space="preserve"> </w:t>
      </w:r>
      <w:r w:rsidR="00921B9B">
        <w:rPr>
          <w:sz w:val="26"/>
          <w:szCs w:val="26"/>
        </w:rPr>
        <w:t>и статистически данни</w:t>
      </w:r>
    </w:p>
    <w:p w:rsidR="001F67EB" w:rsidRPr="001F67EB" w:rsidRDefault="000D0A17" w:rsidP="001F67EB">
      <w:pPr>
        <w:pStyle w:val="ListParagraph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Допълнителни</w:t>
      </w:r>
      <w:r w:rsidR="001F67EB">
        <w:rPr>
          <w:sz w:val="26"/>
          <w:szCs w:val="26"/>
        </w:rPr>
        <w:t xml:space="preserve"> дейности и стажантско обучение</w:t>
      </w: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960B4F">
      <w:pPr>
        <w:ind w:left="851"/>
        <w:jc w:val="center"/>
        <w:rPr>
          <w:sz w:val="26"/>
          <w:szCs w:val="26"/>
        </w:rPr>
      </w:pPr>
    </w:p>
    <w:p w:rsidR="00C12523" w:rsidRDefault="00C12523" w:rsidP="00960B4F">
      <w:pPr>
        <w:ind w:left="851"/>
        <w:jc w:val="center"/>
        <w:rPr>
          <w:sz w:val="26"/>
          <w:szCs w:val="26"/>
        </w:rPr>
      </w:pPr>
    </w:p>
    <w:p w:rsidR="00C12523" w:rsidRPr="00F54FC3" w:rsidRDefault="00C12523" w:rsidP="00960B4F">
      <w:pPr>
        <w:ind w:left="851"/>
        <w:rPr>
          <w:rFonts w:ascii="Calibri" w:hAnsi="Calibri" w:cs="Calibri"/>
          <w:sz w:val="26"/>
          <w:szCs w:val="26"/>
        </w:rPr>
      </w:pPr>
      <w:r w:rsidRPr="00F54FC3">
        <w:rPr>
          <w:rFonts w:ascii="Calibri" w:hAnsi="Calibri" w:cs="Calibri"/>
          <w:sz w:val="26"/>
          <w:szCs w:val="26"/>
        </w:rPr>
        <w:tab/>
      </w: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C12523" w:rsidRDefault="00C12523" w:rsidP="000B4FD2">
      <w:pPr>
        <w:jc w:val="center"/>
        <w:rPr>
          <w:rFonts w:ascii="Calibri" w:hAnsi="Calibri" w:cs="Calibri"/>
          <w:sz w:val="20"/>
          <w:szCs w:val="20"/>
        </w:rPr>
      </w:pPr>
      <w:r w:rsidRPr="00AA3E75">
        <w:rPr>
          <w:rFonts w:ascii="Calibri" w:hAnsi="Calibri" w:cs="Calibri"/>
          <w:sz w:val="20"/>
          <w:szCs w:val="20"/>
        </w:rPr>
        <w:t xml:space="preserve">На основание чл. 7(4) от Правилата за работа на Комисията по помилването (ПРКП), </w:t>
      </w:r>
    </w:p>
    <w:p w:rsidR="00C12523" w:rsidRPr="00AA3E75" w:rsidRDefault="00C12523" w:rsidP="000B4FD2">
      <w:pPr>
        <w:jc w:val="center"/>
        <w:rPr>
          <w:rFonts w:ascii="Calibri" w:hAnsi="Calibri" w:cs="Calibri"/>
          <w:sz w:val="20"/>
          <w:szCs w:val="20"/>
        </w:rPr>
      </w:pPr>
      <w:r w:rsidRPr="00AA3E75">
        <w:rPr>
          <w:rFonts w:ascii="Calibri" w:hAnsi="Calibri" w:cs="Calibri"/>
          <w:sz w:val="20"/>
          <w:szCs w:val="20"/>
        </w:rPr>
        <w:t xml:space="preserve">утвърдени с Указ № 80/23.02.2012 г. </w:t>
      </w:r>
      <w:r w:rsidR="00166B10">
        <w:rPr>
          <w:rFonts w:ascii="Calibri" w:hAnsi="Calibri" w:cs="Calibri"/>
          <w:sz w:val="20"/>
          <w:szCs w:val="20"/>
        </w:rPr>
        <w:t xml:space="preserve">и изменени с Указ № 23/18.02.2014 г. </w:t>
      </w:r>
      <w:r w:rsidRPr="00AA3E75">
        <w:rPr>
          <w:rFonts w:ascii="Calibri" w:hAnsi="Calibri" w:cs="Calibri"/>
          <w:sz w:val="20"/>
          <w:szCs w:val="20"/>
        </w:rPr>
        <w:t>на Президента на Република България</w:t>
      </w:r>
    </w:p>
    <w:p w:rsidR="00C12523" w:rsidRDefault="001E7C52" w:rsidP="001E7C52">
      <w:pPr>
        <w:rPr>
          <w:b/>
          <w:sz w:val="10"/>
          <w:szCs w:val="10"/>
          <w:lang w:val="en-GB"/>
        </w:rPr>
      </w:pPr>
      <w:r w:rsidRPr="001A3BCF">
        <w:rPr>
          <w:b/>
          <w:sz w:val="10"/>
          <w:szCs w:val="10"/>
        </w:rPr>
        <w:t xml:space="preserve"> </w:t>
      </w:r>
    </w:p>
    <w:p w:rsidR="009222CF" w:rsidRPr="008A2A31" w:rsidRDefault="009222CF" w:rsidP="001F67EB">
      <w:pPr>
        <w:ind w:firstLine="709"/>
        <w:jc w:val="both"/>
        <w:rPr>
          <w:rFonts w:asciiTheme="majorHAnsi" w:hAnsiTheme="majorHAnsi"/>
          <w:sz w:val="22"/>
          <w:szCs w:val="22"/>
        </w:rPr>
      </w:pPr>
    </w:p>
    <w:p w:rsidR="00A86172" w:rsidRPr="009222CF" w:rsidRDefault="00A86172" w:rsidP="00A86172">
      <w:pPr>
        <w:pStyle w:val="ListParagraph"/>
        <w:numPr>
          <w:ilvl w:val="0"/>
          <w:numId w:val="26"/>
        </w:numPr>
        <w:jc w:val="center"/>
        <w:rPr>
          <w:rFonts w:asciiTheme="majorHAnsi" w:hAnsiTheme="majorHAnsi"/>
          <w:b/>
          <w:sz w:val="28"/>
          <w:szCs w:val="28"/>
        </w:rPr>
      </w:pPr>
      <w:r w:rsidRPr="009222CF">
        <w:rPr>
          <w:rFonts w:asciiTheme="majorHAnsi" w:hAnsiTheme="majorHAnsi"/>
          <w:b/>
          <w:sz w:val="28"/>
          <w:szCs w:val="28"/>
        </w:rPr>
        <w:t>ДЕЙНОСТ ПО РАЗГЛЕЖДАНЕ НА МОЛБИ ЗА ПОМИЛВАНЕ</w:t>
      </w:r>
    </w:p>
    <w:p w:rsidR="002A6283" w:rsidRDefault="002A6283" w:rsidP="002A6283">
      <w:pPr>
        <w:ind w:firstLine="708"/>
        <w:jc w:val="both"/>
        <w:rPr>
          <w:rFonts w:asciiTheme="majorHAnsi" w:hAnsiTheme="majorHAnsi"/>
        </w:rPr>
      </w:pPr>
    </w:p>
    <w:p w:rsidR="00A86172" w:rsidRPr="007565E2" w:rsidRDefault="002A6283" w:rsidP="007565E2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Съгласно чл. 98, т. 11 от Конституцията правото на помилване принадлежи на държавата в лицето на президента / вицепрезидента. Молителите имат право да получат произнасяне на държавния глава по тяхна молба за помилване. За всяко решение на вицепрезидента Комисията уведомява молителя, освен в случай на помилване, когато се издава указ.</w:t>
      </w:r>
    </w:p>
    <w:tbl>
      <w:tblPr>
        <w:tblStyle w:val="TableGrid"/>
        <w:tblpPr w:leftFromText="141" w:rightFromText="141" w:vertAnchor="page" w:horzAnchor="margin" w:tblpY="3995"/>
        <w:tblW w:w="10910" w:type="dxa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567"/>
        <w:gridCol w:w="567"/>
        <w:gridCol w:w="851"/>
        <w:gridCol w:w="567"/>
        <w:gridCol w:w="396"/>
        <w:gridCol w:w="1276"/>
        <w:gridCol w:w="992"/>
        <w:gridCol w:w="851"/>
        <w:gridCol w:w="538"/>
        <w:gridCol w:w="454"/>
        <w:gridCol w:w="964"/>
        <w:gridCol w:w="624"/>
      </w:tblGrid>
      <w:tr w:rsidR="002A6283" w:rsidRPr="009222CF" w:rsidTr="002A6283">
        <w:tc>
          <w:tcPr>
            <w:tcW w:w="10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ind w:left="-142" w:right="113" w:firstLine="142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Таблица 1: Обща справка за движението на молбите за помилване</w:t>
            </w:r>
          </w:p>
        </w:tc>
      </w:tr>
      <w:tr w:rsidR="002A6283" w:rsidRPr="009222CF" w:rsidTr="002A6283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Заварени</w:t>
            </w:r>
          </w:p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ПОЛУЧЕНИ</w:t>
            </w: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 xml:space="preserve">РЕШЕНИ </w:t>
            </w:r>
            <w:r w:rsidRPr="009222CF">
              <w:rPr>
                <w:rFonts w:asciiTheme="majorHAnsi" w:hAnsiTheme="majorHAnsi"/>
                <w:sz w:val="19"/>
                <w:szCs w:val="19"/>
              </w:rPr>
              <w:t>с предложение за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83" w:rsidRPr="009222CF" w:rsidRDefault="002A6283" w:rsidP="002A6283">
            <w:pPr>
              <w:ind w:right="-108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 xml:space="preserve">ВИСЯЩИ </w:t>
            </w:r>
          </w:p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 xml:space="preserve">пред КП в края на месеца </w:t>
            </w:r>
            <w:r w:rsidRPr="009222CF">
              <w:rPr>
                <w:rFonts w:asciiTheme="majorHAnsi" w:hAnsiTheme="majorHAnsi"/>
                <w:sz w:val="19"/>
                <w:szCs w:val="19"/>
                <w:lang w:val="en-US"/>
              </w:rPr>
              <w:t>(</w:t>
            </w:r>
            <w:proofErr w:type="spellStart"/>
            <w:r w:rsidRPr="009222CF">
              <w:rPr>
                <w:rFonts w:asciiTheme="majorHAnsi" w:hAnsiTheme="majorHAnsi"/>
                <w:sz w:val="19"/>
                <w:szCs w:val="19"/>
              </w:rPr>
              <w:t>разпре</w:t>
            </w:r>
            <w:proofErr w:type="spellEnd"/>
            <w:r w:rsidRPr="009222CF">
              <w:rPr>
                <w:rFonts w:asciiTheme="majorHAnsi" w:hAnsiTheme="majorHAnsi"/>
                <w:sz w:val="19"/>
                <w:szCs w:val="19"/>
              </w:rPr>
              <w:t>-делени)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 xml:space="preserve">Чакат справки </w:t>
            </w:r>
            <w:r w:rsidRPr="009222CF">
              <w:rPr>
                <w:rFonts w:asciiTheme="majorHAnsi" w:hAnsiTheme="majorHAnsi"/>
                <w:sz w:val="19"/>
                <w:szCs w:val="19"/>
              </w:rPr>
              <w:t>(края на мес.)</w:t>
            </w:r>
          </w:p>
        </w:tc>
      </w:tr>
      <w:tr w:rsidR="002A6283" w:rsidRPr="009222CF" w:rsidTr="002A6283">
        <w:trPr>
          <w:trHeight w:val="30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Общо решени</w:t>
            </w:r>
          </w:p>
        </w:tc>
        <w:tc>
          <w:tcPr>
            <w:tcW w:w="5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  <w:lang w:val="en-US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Прекратяване</w:t>
            </w:r>
            <w:r w:rsidRPr="009222CF">
              <w:rPr>
                <w:rFonts w:asciiTheme="majorHAnsi" w:hAnsiTheme="majorHAnsi"/>
                <w:b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  <w:lang w:val="en-US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Отказ</w:t>
            </w:r>
            <w:r w:rsidRPr="009222CF">
              <w:rPr>
                <w:rFonts w:asciiTheme="majorHAnsi" w:hAnsiTheme="majorHAnsi"/>
                <w:b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Помилване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2A6283" w:rsidRPr="009222CF" w:rsidTr="002A6283">
        <w:trPr>
          <w:cantSplit/>
          <w:trHeight w:val="213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общо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Няма нови обстоятелства след постановен отказ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 xml:space="preserve">Изтърпяно наказание (вкл. глоба)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Починал молител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 xml:space="preserve">Молителят не търси помилване (амнистия, реабилитация, опрощаване на изпитателен срок)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Неприложимо помилване (висящ процес, чуждестранна присъда,  давност)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Молителят отказва съдействие/оттегля молбата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2A6283" w:rsidRPr="009222CF" w:rsidTr="002A628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01-2015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F00520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B54F91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55</w:t>
            </w:r>
          </w:p>
        </w:tc>
      </w:tr>
      <w:tr w:rsidR="002A6283" w:rsidRPr="009222CF" w:rsidTr="002A628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02-2015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F00520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7B19B8" w:rsidRDefault="007B19B8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A6283" w:rsidRPr="009222CF" w:rsidRDefault="007B19B8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A6283" w:rsidRPr="00921B9B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1B9B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7B19B8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52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7565E2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Default="00F00520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74</w:t>
            </w:r>
          </w:p>
        </w:tc>
      </w:tr>
      <w:tr w:rsidR="002A6283" w:rsidRPr="009222CF" w:rsidTr="002A628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03-2015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F00520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7B19B8" w:rsidRDefault="007B19B8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A6283" w:rsidRPr="009222CF" w:rsidRDefault="007B19B8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A6283" w:rsidRPr="00921B9B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1B9B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7B19B8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7565E2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7565E2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Default="00F00520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6</w:t>
            </w:r>
            <w:r w:rsidR="000507BB">
              <w:rPr>
                <w:rFonts w:asciiTheme="majorHAnsi" w:hAnsiTheme="majorHAnsi"/>
                <w:sz w:val="19"/>
                <w:szCs w:val="19"/>
              </w:rPr>
              <w:t>8</w:t>
            </w:r>
          </w:p>
        </w:tc>
      </w:tr>
      <w:tr w:rsidR="002A6283" w:rsidRPr="009222CF" w:rsidTr="002A6283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color w:val="FFFFFF" w:themeColor="background1"/>
                <w:sz w:val="19"/>
                <w:szCs w:val="19"/>
              </w:rPr>
              <w:t>ОБЩО</w:t>
            </w:r>
            <w:r w:rsidRPr="009222CF"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 xml:space="preserve"> </w:t>
            </w:r>
          </w:p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6</w:t>
            </w:r>
            <w:r w:rsidRPr="009222CF"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7B19B8" w:rsidRDefault="00F00520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110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7B19B8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86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7565E2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7565E2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0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7565E2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7565E2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7565E2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7565E2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0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7565E2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7</w:t>
            </w:r>
            <w:r w:rsidR="007B19B8"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7565E2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7565E2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28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7B19B8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</w:tr>
      <w:tr w:rsidR="002A6283" w:rsidRPr="009222CF" w:rsidTr="002A6283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2A6283" w:rsidRPr="007B19B8" w:rsidRDefault="00F00520" w:rsidP="002A628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9"/>
                <w:szCs w:val="19"/>
              </w:rPr>
              <w:t>170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  <w:u w:val="single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</w:tr>
    </w:tbl>
    <w:p w:rsidR="00A86172" w:rsidRDefault="00A86172" w:rsidP="003A1FA3">
      <w:pPr>
        <w:ind w:left="359" w:firstLine="709"/>
        <w:jc w:val="both"/>
        <w:rPr>
          <w:rFonts w:asciiTheme="majorHAnsi" w:hAnsiTheme="majorHAnsi"/>
          <w:b/>
        </w:rPr>
      </w:pPr>
    </w:p>
    <w:p w:rsidR="00FF1FF2" w:rsidRPr="00A4005A" w:rsidRDefault="00FF1FF2" w:rsidP="00FF1FF2">
      <w:pPr>
        <w:pStyle w:val="ListParagraph"/>
        <w:ind w:left="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По-малкият брой разгледани и решени молби за първото тримесечие на 2015 г. в сравнение със същия период за 2014 г. и 2013 г. се дължи на забавяне на информация, която Комисията изисква от други държавни органи, по общо </w:t>
      </w:r>
      <w:r w:rsidR="007B19B8">
        <w:rPr>
          <w:rFonts w:asciiTheme="majorHAnsi" w:hAnsiTheme="majorHAnsi"/>
        </w:rPr>
        <w:t>66</w:t>
      </w:r>
      <w:r>
        <w:rPr>
          <w:rFonts w:asciiTheme="majorHAnsi" w:hAnsiTheme="majorHAnsi"/>
        </w:rPr>
        <w:t xml:space="preserve"> молби. </w:t>
      </w:r>
    </w:p>
    <w:tbl>
      <w:tblPr>
        <w:tblpPr w:leftFromText="141" w:rightFromText="141" w:bottomFromText="200" w:vertAnchor="text" w:horzAnchor="margin" w:tblpY="186"/>
        <w:tblW w:w="107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2170"/>
        <w:gridCol w:w="1417"/>
        <w:gridCol w:w="1134"/>
        <w:gridCol w:w="3335"/>
      </w:tblGrid>
      <w:tr w:rsidR="00705C66" w:rsidRPr="001F67EB" w:rsidTr="00705C66">
        <w:trPr>
          <w:tblHeader/>
        </w:trPr>
        <w:tc>
          <w:tcPr>
            <w:tcW w:w="2684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705C66" w:rsidRPr="001F67EB" w:rsidRDefault="00705C66" w:rsidP="00705C66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705C66" w:rsidRPr="001F67EB" w:rsidRDefault="00705C66" w:rsidP="00705C66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  <w:tc>
          <w:tcPr>
            <w:tcW w:w="8056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705C66" w:rsidRPr="001F67EB" w:rsidRDefault="00705C66" w:rsidP="00705C66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>Брой молби</w:t>
            </w:r>
          </w:p>
        </w:tc>
      </w:tr>
      <w:tr w:rsidR="00705C66" w:rsidRPr="001F67EB" w:rsidTr="00705C66">
        <w:trPr>
          <w:tblHeader/>
        </w:trPr>
        <w:tc>
          <w:tcPr>
            <w:tcW w:w="2684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705C66" w:rsidRPr="001F67EB" w:rsidRDefault="00705C66" w:rsidP="00705C66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705C66" w:rsidRPr="001F67EB" w:rsidRDefault="00705C66" w:rsidP="00705C66">
            <w:pPr>
              <w:jc w:val="center"/>
              <w:rPr>
                <w:b/>
                <w:sz w:val="21"/>
                <w:szCs w:val="21"/>
              </w:rPr>
            </w:pPr>
            <w:r w:rsidRPr="001F67EB">
              <w:rPr>
                <w:b/>
                <w:sz w:val="21"/>
                <w:szCs w:val="21"/>
              </w:rPr>
              <w:t xml:space="preserve">Разпределени </w:t>
            </w:r>
          </w:p>
          <w:p w:rsidR="00705C66" w:rsidRPr="001F67EB" w:rsidRDefault="00705C66" w:rsidP="00705C66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1F67EB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705C66" w:rsidRPr="001F67EB" w:rsidRDefault="00705C66" w:rsidP="00705C66">
            <w:pPr>
              <w:jc w:val="center"/>
              <w:rPr>
                <w:b/>
                <w:sz w:val="21"/>
                <w:szCs w:val="21"/>
              </w:rPr>
            </w:pPr>
            <w:r w:rsidRPr="001F67EB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705C66" w:rsidRPr="001F67EB" w:rsidRDefault="00705C66" w:rsidP="00705C66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1F67EB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  <w:hideMark/>
          </w:tcPr>
          <w:p w:rsidR="00705C66" w:rsidRPr="001F67EB" w:rsidRDefault="00705C66" w:rsidP="00705C66">
            <w:pPr>
              <w:jc w:val="center"/>
              <w:rPr>
                <w:b/>
                <w:bCs/>
                <w:sz w:val="21"/>
                <w:szCs w:val="21"/>
              </w:rPr>
            </w:pPr>
            <w:r w:rsidRPr="001F67EB">
              <w:rPr>
                <w:b/>
                <w:bCs/>
                <w:sz w:val="21"/>
                <w:szCs w:val="21"/>
              </w:rPr>
              <w:t>Молби с удължен срок за разглеждане</w:t>
            </w:r>
          </w:p>
        </w:tc>
      </w:tr>
      <w:tr w:rsidR="00705C66" w:rsidRPr="001F67EB" w:rsidTr="00705C66">
        <w:tc>
          <w:tcPr>
            <w:tcW w:w="268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705C66" w:rsidRPr="009079B5" w:rsidRDefault="00705C66" w:rsidP="00705C6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XXII, </w:t>
            </w:r>
            <w:r>
              <w:rPr>
                <w:b/>
                <w:bCs/>
                <w:color w:val="FFFFFF"/>
                <w:sz w:val="20"/>
                <w:szCs w:val="20"/>
              </w:rPr>
              <w:t>15.01.2015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705C66" w:rsidRDefault="00705C66" w:rsidP="00705C6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705C66" w:rsidRDefault="00705C66" w:rsidP="00705C6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705C66" w:rsidRDefault="00705C66" w:rsidP="00705C66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13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bottom w:val="single" w:sz="6" w:space="0" w:color="FFFFFF"/>
              <w:right w:val="nil"/>
            </w:tcBorders>
            <w:shd w:val="clear" w:color="auto" w:fill="4F6228" w:themeFill="accent3" w:themeFillShade="80"/>
          </w:tcPr>
          <w:p w:rsidR="00705C66" w:rsidRDefault="00705C66" w:rsidP="00705C66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05C66" w:rsidRPr="001F67EB" w:rsidTr="00705C66">
        <w:tc>
          <w:tcPr>
            <w:tcW w:w="268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705C66" w:rsidRPr="009079B5" w:rsidRDefault="00705C66" w:rsidP="00705C6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XXIII, </w:t>
            </w:r>
            <w:r>
              <w:rPr>
                <w:b/>
                <w:bCs/>
                <w:color w:val="FFFFFF"/>
                <w:sz w:val="20"/>
                <w:szCs w:val="20"/>
              </w:rPr>
              <w:t>12.0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705C66" w:rsidRPr="00A4005A" w:rsidRDefault="00705C66" w:rsidP="00705C66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705C66" w:rsidRDefault="00705C66" w:rsidP="00705C6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705C66" w:rsidRDefault="00705C66" w:rsidP="00705C66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34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05C66" w:rsidRDefault="00705C66" w:rsidP="00705C66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05C66" w:rsidRPr="001F67EB" w:rsidTr="00705C66">
        <w:tc>
          <w:tcPr>
            <w:tcW w:w="268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705C66" w:rsidRPr="009079B5" w:rsidRDefault="00705C66" w:rsidP="00705C6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XXIV, </w:t>
            </w:r>
            <w:r>
              <w:rPr>
                <w:b/>
                <w:bCs/>
                <w:color w:val="FFFFFF"/>
                <w:sz w:val="20"/>
                <w:szCs w:val="20"/>
              </w:rPr>
              <w:t>19.0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705C66" w:rsidRPr="00A4005A" w:rsidRDefault="00705C66" w:rsidP="00705C66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  <w:r w:rsidR="007B19B8"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705C66" w:rsidRDefault="00705C66" w:rsidP="00705C6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7B19B8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705C66" w:rsidRDefault="00705C66" w:rsidP="00705C66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  <w:r w:rsidR="007B19B8">
              <w:rPr>
                <w:b/>
                <w:bCs/>
                <w:color w:val="FFFFFF" w:themeColor="background1"/>
                <w:sz w:val="21"/>
                <w:szCs w:val="21"/>
              </w:rPr>
              <w:t>5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05C66" w:rsidRDefault="00705C66" w:rsidP="00705C66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05C66" w:rsidRPr="001F67EB" w:rsidTr="00705C66">
        <w:tc>
          <w:tcPr>
            <w:tcW w:w="268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705C66" w:rsidRPr="009079B5" w:rsidRDefault="00705C66" w:rsidP="00705C6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XXV, </w:t>
            </w:r>
            <w:r>
              <w:rPr>
                <w:b/>
                <w:bCs/>
                <w:color w:val="FFFFFF"/>
                <w:sz w:val="20"/>
                <w:szCs w:val="20"/>
              </w:rPr>
              <w:t>5.03.2015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705C66" w:rsidRPr="00A4005A" w:rsidRDefault="00705C66" w:rsidP="00705C66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</w:t>
            </w:r>
            <w:r w:rsidR="007B19B8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705C66" w:rsidRDefault="00705C66" w:rsidP="00705C6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7B19B8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705C66" w:rsidRDefault="00705C66" w:rsidP="00705C66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7B19B8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05C66" w:rsidRDefault="00705C66" w:rsidP="00705C66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05C66" w:rsidRPr="001F67EB" w:rsidTr="00705C66">
        <w:tc>
          <w:tcPr>
            <w:tcW w:w="268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705C66" w:rsidRPr="00536A5E" w:rsidRDefault="00705C66" w:rsidP="00705C66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1F67EB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 4 </w:t>
            </w:r>
            <w:r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4721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705C66" w:rsidRPr="00D72776" w:rsidRDefault="00705C66" w:rsidP="00705C66">
            <w:pPr>
              <w:tabs>
                <w:tab w:val="left" w:pos="1903"/>
                <w:tab w:val="center" w:pos="2252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color w:val="FFFFFF" w:themeColor="background1"/>
                <w:sz w:val="21"/>
                <w:szCs w:val="21"/>
              </w:rPr>
              <w:tab/>
              <w:t xml:space="preserve">                         </w:t>
            </w:r>
            <w:r>
              <w:rPr>
                <w:color w:val="FFFFFF" w:themeColor="background1"/>
                <w:sz w:val="21"/>
                <w:szCs w:val="21"/>
              </w:rPr>
              <w:tab/>
            </w:r>
            <w:r w:rsidR="007B19B8">
              <w:rPr>
                <w:b/>
                <w:color w:val="FFFFFF" w:themeColor="background1"/>
                <w:sz w:val="21"/>
                <w:szCs w:val="21"/>
              </w:rPr>
              <w:t>86</w:t>
            </w:r>
          </w:p>
        </w:tc>
        <w:tc>
          <w:tcPr>
            <w:tcW w:w="3335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4F6228" w:themeFill="accent3" w:themeFillShade="80"/>
          </w:tcPr>
          <w:p w:rsidR="00705C66" w:rsidRPr="007565E2" w:rsidRDefault="00705C66" w:rsidP="00705C66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 с</w:t>
            </w:r>
            <w:r w:rsidRPr="007565E2">
              <w:rPr>
                <w:b/>
                <w:bCs/>
                <w:color w:val="FFFFFF" w:themeColor="background1"/>
                <w:sz w:val="21"/>
                <w:szCs w:val="21"/>
              </w:rPr>
              <w:t>пряна в предходен период</w:t>
            </w:r>
            <w:r w:rsidR="000F156B">
              <w:rPr>
                <w:b/>
                <w:bCs/>
                <w:color w:val="FFFFFF" w:themeColor="background1"/>
                <w:sz w:val="21"/>
                <w:szCs w:val="21"/>
              </w:rPr>
              <w:t>, изчаква информация от други институции</w:t>
            </w:r>
          </w:p>
        </w:tc>
      </w:tr>
    </w:tbl>
    <w:p w:rsidR="007565E2" w:rsidRDefault="007565E2" w:rsidP="007565E2">
      <w:pPr>
        <w:ind w:left="359" w:firstLine="709"/>
        <w:jc w:val="center"/>
        <w:rPr>
          <w:rFonts w:asciiTheme="majorHAnsi" w:hAnsiTheme="majorHAnsi"/>
          <w:b/>
        </w:rPr>
      </w:pPr>
    </w:p>
    <w:p w:rsidR="001F67EB" w:rsidRDefault="002A6283" w:rsidP="00705C66">
      <w:pPr>
        <w:ind w:firstLine="67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1F67EB" w:rsidRPr="00F905F4">
        <w:rPr>
          <w:rFonts w:asciiTheme="majorHAnsi" w:hAnsiTheme="majorHAnsi"/>
          <w:b/>
        </w:rPr>
        <w:t>.1</w:t>
      </w:r>
      <w:r w:rsidR="007B19B8">
        <w:rPr>
          <w:rFonts w:asciiTheme="majorHAnsi" w:hAnsiTheme="majorHAnsi"/>
          <w:b/>
        </w:rPr>
        <w:t>.</w:t>
      </w:r>
      <w:r w:rsidR="001F67EB" w:rsidRPr="00F905F4">
        <w:rPr>
          <w:rFonts w:asciiTheme="majorHAnsi" w:hAnsiTheme="majorHAnsi"/>
          <w:b/>
        </w:rPr>
        <w:t xml:space="preserve"> ПРЕДЛОЖЕНИЯ ЗА ПРЕКРАТЯВАНЕ НА РАЗГЛЕЖДАНЕТО</w:t>
      </w:r>
    </w:p>
    <w:p w:rsidR="00A71F9B" w:rsidRPr="00F905F4" w:rsidRDefault="00A71F9B" w:rsidP="003A1FA3">
      <w:pPr>
        <w:ind w:left="359" w:firstLine="709"/>
        <w:jc w:val="both"/>
        <w:rPr>
          <w:rFonts w:asciiTheme="majorHAnsi" w:hAnsiTheme="majorHAnsi"/>
          <w:b/>
        </w:rPr>
      </w:pPr>
    </w:p>
    <w:p w:rsidR="008D78B1" w:rsidRDefault="001F67EB" w:rsidP="001F67EB">
      <w:pPr>
        <w:ind w:firstLine="709"/>
        <w:jc w:val="both"/>
        <w:rPr>
          <w:rFonts w:asciiTheme="majorHAnsi" w:hAnsiTheme="majorHAnsi"/>
        </w:rPr>
      </w:pPr>
      <w:r w:rsidRPr="00F905F4">
        <w:rPr>
          <w:rFonts w:asciiTheme="majorHAnsi" w:hAnsiTheme="majorHAnsi"/>
        </w:rPr>
        <w:t xml:space="preserve">Комисията се е произнесла с </w:t>
      </w:r>
      <w:r w:rsidRPr="00F905F4">
        <w:rPr>
          <w:rFonts w:asciiTheme="majorHAnsi" w:hAnsiTheme="majorHAnsi"/>
          <w:b/>
        </w:rPr>
        <w:t>предложение за прекратяване</w:t>
      </w:r>
      <w:r w:rsidRPr="00F905F4">
        <w:rPr>
          <w:rFonts w:asciiTheme="majorHAnsi" w:hAnsiTheme="majorHAnsi"/>
        </w:rPr>
        <w:t xml:space="preserve"> на разглеждането на </w:t>
      </w:r>
      <w:r w:rsidR="002A6283">
        <w:rPr>
          <w:rFonts w:asciiTheme="majorHAnsi" w:hAnsiTheme="majorHAnsi"/>
          <w:lang w:val="en-US"/>
        </w:rPr>
        <w:t>9</w:t>
      </w:r>
      <w:r w:rsidR="000F0C79">
        <w:rPr>
          <w:rFonts w:asciiTheme="majorHAnsi" w:hAnsiTheme="majorHAnsi"/>
          <w:lang w:val="en-US"/>
        </w:rPr>
        <w:t xml:space="preserve"> </w:t>
      </w:r>
      <w:r w:rsidRPr="00F905F4">
        <w:rPr>
          <w:rFonts w:asciiTheme="majorHAnsi" w:hAnsiTheme="majorHAnsi"/>
        </w:rPr>
        <w:t>молби, при които е установила</w:t>
      </w:r>
      <w:r w:rsidR="002A6283">
        <w:rPr>
          <w:rFonts w:asciiTheme="majorHAnsi" w:hAnsiTheme="majorHAnsi"/>
        </w:rPr>
        <w:t>, че</w:t>
      </w:r>
      <w:r w:rsidR="001E06B7" w:rsidRPr="00F905F4">
        <w:rPr>
          <w:rFonts w:asciiTheme="majorHAnsi" w:hAnsiTheme="majorHAnsi"/>
        </w:rPr>
        <w:t xml:space="preserve"> </w:t>
      </w:r>
      <w:r w:rsidRPr="00F905F4">
        <w:rPr>
          <w:rFonts w:asciiTheme="majorHAnsi" w:hAnsiTheme="majorHAnsi"/>
        </w:rPr>
        <w:t>молбата</w:t>
      </w:r>
      <w:r w:rsidR="001E06B7" w:rsidRPr="00F905F4">
        <w:rPr>
          <w:rFonts w:asciiTheme="majorHAnsi" w:hAnsiTheme="majorHAnsi"/>
        </w:rPr>
        <w:t xml:space="preserve"> е подадена след скорошно произнасяне на Вицепрезидента с отказ от помилване и по случая не са настъпили нови обстоятелства, които да налагат новото му разглеждане по същество</w:t>
      </w:r>
      <w:r w:rsidR="00565284">
        <w:rPr>
          <w:rFonts w:asciiTheme="majorHAnsi" w:hAnsiTheme="majorHAnsi"/>
        </w:rPr>
        <w:t xml:space="preserve">. </w:t>
      </w:r>
    </w:p>
    <w:p w:rsidR="000F156B" w:rsidRDefault="000F156B" w:rsidP="001F67EB">
      <w:pPr>
        <w:ind w:firstLine="709"/>
        <w:jc w:val="both"/>
        <w:rPr>
          <w:rFonts w:asciiTheme="majorHAnsi" w:hAnsiTheme="majorHAnsi"/>
        </w:rPr>
      </w:pPr>
    </w:p>
    <w:p w:rsidR="000F156B" w:rsidRDefault="000F156B" w:rsidP="001F67EB">
      <w:pPr>
        <w:ind w:firstLine="709"/>
        <w:jc w:val="both"/>
        <w:rPr>
          <w:rFonts w:asciiTheme="majorHAnsi" w:hAnsiTheme="majorHAnsi"/>
        </w:rPr>
      </w:pPr>
    </w:p>
    <w:p w:rsidR="000F156B" w:rsidRPr="00F905F4" w:rsidRDefault="000F156B" w:rsidP="001F67EB">
      <w:pPr>
        <w:ind w:firstLine="709"/>
        <w:jc w:val="both"/>
        <w:rPr>
          <w:rFonts w:asciiTheme="majorHAnsi" w:hAnsiTheme="majorHAnsi"/>
          <w:b/>
        </w:rPr>
      </w:pPr>
    </w:p>
    <w:p w:rsidR="001F67EB" w:rsidRPr="007565E2" w:rsidRDefault="007565E2" w:rsidP="007565E2">
      <w:pPr>
        <w:pStyle w:val="ListParagraph"/>
        <w:ind w:left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1.2. </w:t>
      </w:r>
      <w:r w:rsidR="001F67EB" w:rsidRPr="007565E2">
        <w:rPr>
          <w:rFonts w:asciiTheme="majorHAnsi" w:hAnsiTheme="majorHAnsi"/>
          <w:b/>
        </w:rPr>
        <w:t>ПРЕДЛОЖЕНИЯ ЗА ОТКАЗ ОТ УПРАЖНЯВАНЕ НА ПРАВОТО НА ПОМИЛВАНЕ</w:t>
      </w:r>
    </w:p>
    <w:p w:rsidR="00134504" w:rsidRDefault="00134504" w:rsidP="00134504">
      <w:pPr>
        <w:pStyle w:val="ListParagraph"/>
        <w:ind w:left="1428"/>
        <w:jc w:val="both"/>
        <w:rPr>
          <w:rFonts w:asciiTheme="majorHAnsi" w:hAnsiTheme="majorHAnsi"/>
          <w:b/>
        </w:rPr>
      </w:pPr>
    </w:p>
    <w:p w:rsidR="009C3004" w:rsidRDefault="002A6283" w:rsidP="005F6CDF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Липсва промяна в</w:t>
      </w:r>
      <w:r w:rsidR="009C3004">
        <w:rPr>
          <w:rFonts w:asciiTheme="majorHAnsi" w:hAnsiTheme="majorHAnsi" w:cs="Arial"/>
        </w:rPr>
        <w:t xml:space="preserve"> практиката на Комисията по отношение приложното поле на помилването и основанията за отказ. </w:t>
      </w:r>
    </w:p>
    <w:p w:rsidR="00010E90" w:rsidRDefault="005F6CDF" w:rsidP="005F6CDF">
      <w:pPr>
        <w:ind w:firstLine="708"/>
        <w:jc w:val="both"/>
        <w:rPr>
          <w:rFonts w:asciiTheme="majorHAnsi" w:hAnsiTheme="majorHAnsi" w:cs="Arial"/>
        </w:rPr>
      </w:pPr>
      <w:r w:rsidRPr="00F905F4">
        <w:rPr>
          <w:rFonts w:asciiTheme="majorHAnsi" w:hAnsiTheme="majorHAnsi" w:cs="Arial"/>
        </w:rPr>
        <w:t>В случаи</w:t>
      </w:r>
      <w:r w:rsidR="00880DB2" w:rsidRPr="00F905F4">
        <w:rPr>
          <w:rFonts w:asciiTheme="majorHAnsi" w:hAnsiTheme="majorHAnsi" w:cs="Arial"/>
        </w:rPr>
        <w:t>те</w:t>
      </w:r>
      <w:r w:rsidRPr="00F905F4">
        <w:rPr>
          <w:rFonts w:asciiTheme="majorHAnsi" w:hAnsiTheme="majorHAnsi" w:cs="Arial"/>
        </w:rPr>
        <w:t xml:space="preserve">, по които Комисията се е произнесла с предложение за отказ от помилване, </w:t>
      </w:r>
      <w:r w:rsidR="00880DB2" w:rsidRPr="00F905F4">
        <w:rPr>
          <w:rFonts w:asciiTheme="majorHAnsi" w:hAnsiTheme="majorHAnsi" w:cs="Arial"/>
        </w:rPr>
        <w:t xml:space="preserve">тя </w:t>
      </w:r>
      <w:r w:rsidRPr="00F905F4">
        <w:rPr>
          <w:rFonts w:asciiTheme="majorHAnsi" w:hAnsiTheme="majorHAnsi" w:cs="Arial"/>
        </w:rPr>
        <w:t>е достигнала до заключението, че помилването би представлявало омаловажаване на тежестта на извършеното и пренебрегване на опасността, която осъденият продължава да представлява за обществото, като действащата наказателна и наказателно-изпълнителна система съдържа множество средства за облекчаване на репресията, от които осъденият може да се ползва при добро поведение.</w:t>
      </w:r>
      <w:r w:rsidR="00010E90" w:rsidRPr="00F905F4">
        <w:rPr>
          <w:rFonts w:asciiTheme="majorHAnsi" w:hAnsiTheme="majorHAnsi" w:cs="Arial"/>
        </w:rPr>
        <w:t xml:space="preserve"> Не са установени изключителни обстоятелства, които да правят изтърпяването на наказанието през остатъка му прекомерно или нецелесъобразно. Когато твърдените от молителя хуманитарни обстоятелства са били </w:t>
      </w:r>
      <w:r w:rsidR="009C3004">
        <w:rPr>
          <w:rFonts w:asciiTheme="majorHAnsi" w:hAnsiTheme="majorHAnsi" w:cs="Arial"/>
        </w:rPr>
        <w:t>потвърдени</w:t>
      </w:r>
      <w:r w:rsidR="00010E90" w:rsidRPr="00F905F4">
        <w:rPr>
          <w:rFonts w:asciiTheme="majorHAnsi" w:hAnsiTheme="majorHAnsi" w:cs="Arial"/>
        </w:rPr>
        <w:t xml:space="preserve">, </w:t>
      </w:r>
      <w:r w:rsidR="009C3004">
        <w:rPr>
          <w:rFonts w:asciiTheme="majorHAnsi" w:hAnsiTheme="majorHAnsi" w:cs="Arial"/>
        </w:rPr>
        <w:t xml:space="preserve">Комисията е установила, че </w:t>
      </w:r>
      <w:r w:rsidR="00010E90" w:rsidRPr="00F905F4">
        <w:rPr>
          <w:rFonts w:asciiTheme="majorHAnsi" w:hAnsiTheme="majorHAnsi" w:cs="Arial"/>
        </w:rPr>
        <w:t>същите са били отчетени и от съда при определяне на наказанието, като то е било намалено поради тях. Комисията не е намерила основания за допълнителна проява на снизхождение.</w:t>
      </w:r>
    </w:p>
    <w:p w:rsidR="000F156B" w:rsidRDefault="000F156B" w:rsidP="005F6CDF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През отчетния период Комисията особено подробно работи по молби на осъдени, които поради здравословно състояние не изтърпяват ефективно наказанието си или твърдят, че същото е несъвместимо със заболяването им. Данните за тежко състояние и несъвместимост с режимите на изтърпяване на наказанието са били изцяло опровергани.</w:t>
      </w:r>
    </w:p>
    <w:p w:rsidR="005F6CDF" w:rsidRPr="00F905F4" w:rsidRDefault="009C3004" w:rsidP="009C3004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При молителите с устойчив или ескалиращ престъпен модел Комисията е установила, че</w:t>
      </w:r>
      <w:r w:rsidR="005F6CDF" w:rsidRPr="00F905F4">
        <w:rPr>
          <w:rFonts w:asciiTheme="majorHAnsi" w:hAnsiTheme="majorHAnsi"/>
        </w:rPr>
        <w:t xml:space="preserve"> н</w:t>
      </w:r>
      <w:r w:rsidR="005F6CDF" w:rsidRPr="00F905F4">
        <w:rPr>
          <w:rFonts w:asciiTheme="majorHAnsi" w:hAnsiTheme="majorHAnsi" w:cs="Arial"/>
        </w:rPr>
        <w:t>агласите, довели до извършване на престъплението, са съхранени</w:t>
      </w:r>
      <w:r>
        <w:rPr>
          <w:rFonts w:asciiTheme="majorHAnsi" w:hAnsiTheme="majorHAnsi" w:cs="Arial"/>
        </w:rPr>
        <w:t xml:space="preserve">, при отказ на </w:t>
      </w:r>
      <w:r w:rsidR="000F156B">
        <w:rPr>
          <w:rFonts w:asciiTheme="majorHAnsi" w:hAnsiTheme="majorHAnsi" w:cs="Arial"/>
        </w:rPr>
        <w:t>съответния молител</w:t>
      </w:r>
      <w:r>
        <w:rPr>
          <w:rFonts w:asciiTheme="majorHAnsi" w:hAnsiTheme="majorHAnsi" w:cs="Arial"/>
        </w:rPr>
        <w:t xml:space="preserve"> </w:t>
      </w:r>
      <w:r w:rsidR="000F156B">
        <w:rPr>
          <w:rFonts w:asciiTheme="majorHAnsi" w:hAnsiTheme="majorHAnsi" w:cs="Arial"/>
        </w:rPr>
        <w:t xml:space="preserve">да се разграничи от извършеното </w:t>
      </w:r>
      <w:r>
        <w:rPr>
          <w:rFonts w:asciiTheme="majorHAnsi" w:hAnsiTheme="majorHAnsi" w:cs="Arial"/>
        </w:rPr>
        <w:t xml:space="preserve">или липса на ресурси и мотивация </w:t>
      </w:r>
      <w:r w:rsidR="000F156B">
        <w:rPr>
          <w:rFonts w:asciiTheme="majorHAnsi" w:hAnsiTheme="majorHAnsi" w:cs="Arial"/>
        </w:rPr>
        <w:t xml:space="preserve">у него </w:t>
      </w:r>
      <w:r>
        <w:rPr>
          <w:rFonts w:asciiTheme="majorHAnsi" w:hAnsiTheme="majorHAnsi" w:cs="Arial"/>
        </w:rPr>
        <w:t>за тяхната промяна</w:t>
      </w:r>
      <w:r w:rsidR="005F6CDF" w:rsidRPr="00F905F4">
        <w:rPr>
          <w:rFonts w:asciiTheme="majorHAnsi" w:hAnsiTheme="majorHAnsi" w:cs="Arial"/>
        </w:rPr>
        <w:t xml:space="preserve">. </w:t>
      </w:r>
    </w:p>
    <w:p w:rsidR="005F6CDF" w:rsidRPr="00F905F4" w:rsidRDefault="005F6CDF" w:rsidP="005F6CDF">
      <w:pPr>
        <w:ind w:firstLine="708"/>
        <w:jc w:val="both"/>
        <w:rPr>
          <w:rFonts w:asciiTheme="majorHAnsi" w:hAnsiTheme="majorHAnsi" w:cs="Arial"/>
        </w:rPr>
      </w:pPr>
    </w:p>
    <w:p w:rsidR="001F67EB" w:rsidRPr="00F905F4" w:rsidRDefault="007565E2" w:rsidP="007565E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1F67EB" w:rsidRPr="00F905F4">
        <w:rPr>
          <w:rFonts w:asciiTheme="majorHAnsi" w:hAnsiTheme="majorHAnsi"/>
          <w:b/>
        </w:rPr>
        <w:t>.3</w:t>
      </w:r>
      <w:r>
        <w:rPr>
          <w:rFonts w:asciiTheme="majorHAnsi" w:hAnsiTheme="majorHAnsi"/>
          <w:b/>
        </w:rPr>
        <w:t>.</w:t>
      </w:r>
      <w:r w:rsidR="001F67EB" w:rsidRPr="00F905F4">
        <w:rPr>
          <w:rFonts w:asciiTheme="majorHAnsi" w:hAnsiTheme="majorHAnsi"/>
          <w:b/>
        </w:rPr>
        <w:t xml:space="preserve"> ПРЕДЛОЖЕНИЯ ЗА ПОМИЛВАНЕ</w:t>
      </w:r>
    </w:p>
    <w:p w:rsidR="009C3004" w:rsidRDefault="009C3004" w:rsidP="001F67EB">
      <w:pPr>
        <w:ind w:firstLine="709"/>
        <w:jc w:val="both"/>
        <w:rPr>
          <w:rFonts w:asciiTheme="majorHAnsi" w:hAnsiTheme="majorHAnsi"/>
        </w:rPr>
      </w:pPr>
    </w:p>
    <w:p w:rsidR="001F67EB" w:rsidRPr="00F905F4" w:rsidRDefault="002A6283" w:rsidP="001F67EB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През първото тримесечие на 2015</w:t>
      </w:r>
      <w:r w:rsidR="008774F5">
        <w:rPr>
          <w:rFonts w:asciiTheme="majorHAnsi" w:hAnsiTheme="majorHAnsi"/>
        </w:rPr>
        <w:t xml:space="preserve"> г. Вицепрезидентът се е произнесъл по </w:t>
      </w:r>
      <w:r w:rsidR="002E77D6">
        <w:rPr>
          <w:rFonts w:asciiTheme="majorHAnsi" w:hAnsiTheme="majorHAnsi"/>
        </w:rPr>
        <w:t xml:space="preserve">две </w:t>
      </w:r>
      <w:r w:rsidR="001F67EB" w:rsidRPr="008774F5">
        <w:rPr>
          <w:rFonts w:asciiTheme="majorHAnsi" w:hAnsiTheme="majorHAnsi"/>
        </w:rPr>
        <w:t>предложени</w:t>
      </w:r>
      <w:r w:rsidR="002E77D6">
        <w:rPr>
          <w:rFonts w:asciiTheme="majorHAnsi" w:hAnsiTheme="majorHAnsi"/>
        </w:rPr>
        <w:t>я</w:t>
      </w:r>
      <w:r w:rsidR="008774F5" w:rsidRPr="008774F5">
        <w:rPr>
          <w:rFonts w:asciiTheme="majorHAnsi" w:hAnsiTheme="majorHAnsi"/>
        </w:rPr>
        <w:t xml:space="preserve"> на </w:t>
      </w:r>
      <w:r w:rsidR="00EF3501">
        <w:rPr>
          <w:rFonts w:asciiTheme="majorHAnsi" w:hAnsiTheme="majorHAnsi"/>
        </w:rPr>
        <w:t>К</w:t>
      </w:r>
      <w:r w:rsidR="008774F5" w:rsidRPr="008774F5">
        <w:rPr>
          <w:rFonts w:asciiTheme="majorHAnsi" w:hAnsiTheme="majorHAnsi"/>
        </w:rPr>
        <w:t>омисията</w:t>
      </w:r>
      <w:r w:rsidR="001F67EB" w:rsidRPr="008774F5">
        <w:rPr>
          <w:rFonts w:asciiTheme="majorHAnsi" w:hAnsiTheme="majorHAnsi"/>
        </w:rPr>
        <w:t xml:space="preserve"> за помилване</w:t>
      </w:r>
      <w:r w:rsidR="00212254" w:rsidRPr="008774F5">
        <w:rPr>
          <w:rFonts w:asciiTheme="majorHAnsi" w:hAnsiTheme="majorHAnsi"/>
        </w:rPr>
        <w:t xml:space="preserve"> </w:t>
      </w:r>
      <w:r w:rsidR="001F67EB" w:rsidRPr="00F905F4">
        <w:rPr>
          <w:rFonts w:asciiTheme="majorHAnsi" w:hAnsiTheme="majorHAnsi"/>
        </w:rPr>
        <w:t>(</w:t>
      </w:r>
      <w:r w:rsidR="001F67EB" w:rsidRPr="00F905F4">
        <w:rPr>
          <w:rFonts w:asciiTheme="majorHAnsi" w:hAnsiTheme="majorHAnsi"/>
          <w:i/>
        </w:rPr>
        <w:t>следва извлечение от мотивите на Комисията</w:t>
      </w:r>
      <w:r w:rsidR="001F67EB" w:rsidRPr="00F905F4">
        <w:rPr>
          <w:rFonts w:asciiTheme="majorHAnsi" w:hAnsiTheme="majorHAnsi"/>
        </w:rPr>
        <w:t>):</w:t>
      </w:r>
    </w:p>
    <w:p w:rsidR="002A6283" w:rsidRPr="00A50201" w:rsidRDefault="002A6283" w:rsidP="002A6283">
      <w:pPr>
        <w:pStyle w:val="ListParagraph"/>
        <w:ind w:left="0" w:firstLine="708"/>
        <w:jc w:val="both"/>
        <w:rPr>
          <w:rFonts w:ascii="Cambria" w:eastAsia="Calibri" w:hAnsi="Cambria"/>
        </w:rPr>
      </w:pPr>
      <w:r w:rsidRPr="00A50201">
        <w:rPr>
          <w:rFonts w:ascii="Cambria" w:hAnsi="Cambria"/>
          <w:b/>
        </w:rPr>
        <w:t>1</w:t>
      </w:r>
      <w:r w:rsidRPr="00A50201">
        <w:rPr>
          <w:rFonts w:ascii="Cambria" w:hAnsi="Cambria"/>
        </w:rPr>
        <w:t xml:space="preserve">. Молителят е на 46 години, със средно образование, в миналото неосъждан. През 2000 г. му е наложен доживотен затвор за участието му в убийството на двамата охранители на тъста му, извършено през април 1992 г. Тъстът, който бил получил значителни доходи от извършването на измами (за близо 3 месеца през пролетта на 1992 г. събрал близо </w:t>
      </w:r>
      <w:r w:rsidRPr="00A50201">
        <w:rPr>
          <w:rFonts w:ascii="Cambria" w:eastAsia="Calibri" w:hAnsi="Cambria"/>
        </w:rPr>
        <w:t xml:space="preserve">8941500 </w:t>
      </w:r>
      <w:proofErr w:type="spellStart"/>
      <w:r w:rsidRPr="00A50201">
        <w:rPr>
          <w:rFonts w:ascii="Cambria" w:eastAsia="Calibri" w:hAnsi="Cambria"/>
        </w:rPr>
        <w:t>неденоминирани</w:t>
      </w:r>
      <w:proofErr w:type="spellEnd"/>
      <w:r w:rsidRPr="00A50201">
        <w:rPr>
          <w:rFonts w:ascii="Cambria" w:eastAsia="Calibri" w:hAnsi="Cambria"/>
        </w:rPr>
        <w:t xml:space="preserve"> лева от общо 1378 измамени граждани), инициирал убийството и въвлякъл зет си в него, тъй като искал да избегне подялба на тези доходи с пострадалите, настояващи за дял в тях. </w:t>
      </w:r>
    </w:p>
    <w:p w:rsidR="002A6283" w:rsidRPr="00A50201" w:rsidRDefault="002A6283" w:rsidP="002A6283">
      <w:pPr>
        <w:pStyle w:val="ListParagraph"/>
        <w:ind w:left="0" w:firstLine="708"/>
        <w:jc w:val="both"/>
        <w:rPr>
          <w:rFonts w:ascii="Cambria" w:eastAsia="Calibri" w:hAnsi="Cambria"/>
        </w:rPr>
      </w:pPr>
      <w:r w:rsidRPr="00A50201">
        <w:rPr>
          <w:rFonts w:ascii="Cambria" w:eastAsia="Calibri" w:hAnsi="Cambria"/>
        </w:rPr>
        <w:t>Към този момент молителят бил 22 годишен баща на малко момиченце и работел като снабдител.</w:t>
      </w:r>
    </w:p>
    <w:p w:rsidR="002A6283" w:rsidRPr="00A50201" w:rsidRDefault="002A6283" w:rsidP="002A6283">
      <w:pPr>
        <w:pStyle w:val="ListParagraph"/>
        <w:ind w:left="0" w:firstLine="708"/>
        <w:jc w:val="both"/>
        <w:rPr>
          <w:rFonts w:ascii="Cambria" w:eastAsia="Calibri" w:hAnsi="Cambria"/>
        </w:rPr>
      </w:pPr>
      <w:r w:rsidRPr="00A50201">
        <w:rPr>
          <w:rFonts w:ascii="Cambria" w:eastAsia="Calibri" w:hAnsi="Cambria"/>
        </w:rPr>
        <w:t xml:space="preserve">След като изтърпял фактически 20 години и 9 месеца от наказанието, през 2013 г. то е заменено от съда на 30 години лишаване от свобода. Съдът се обосновал, че ,,осъденият след продължителната изолация от обществото е осмислил поведението си и дава убедителни и неотвратими доказателства, че изтърпяното наказание дотук е повлияло на личността му“, като е налице ,,трайна тенденция и полагане на системни усилия за поправяне“. Според съда осъденият ,,притежава умение за </w:t>
      </w:r>
      <w:proofErr w:type="spellStart"/>
      <w:r w:rsidRPr="00A50201">
        <w:rPr>
          <w:rFonts w:ascii="Cambria" w:eastAsia="Calibri" w:hAnsi="Cambria"/>
        </w:rPr>
        <w:t>ресоциализация</w:t>
      </w:r>
      <w:proofErr w:type="spellEnd"/>
      <w:r w:rsidRPr="00A50201">
        <w:rPr>
          <w:rFonts w:ascii="Cambria" w:eastAsia="Calibri" w:hAnsi="Cambria"/>
        </w:rPr>
        <w:t xml:space="preserve"> и вграждане в обществото, като е налице позитивна нагласа за бъдещето му“.</w:t>
      </w:r>
    </w:p>
    <w:p w:rsidR="002A6283" w:rsidRPr="00A50201" w:rsidRDefault="002A6283" w:rsidP="002A6283">
      <w:pPr>
        <w:pStyle w:val="ListParagraph"/>
        <w:ind w:left="0" w:firstLine="708"/>
        <w:jc w:val="both"/>
        <w:rPr>
          <w:rFonts w:ascii="Cambria" w:hAnsi="Cambria"/>
        </w:rPr>
      </w:pPr>
      <w:r w:rsidRPr="00A50201">
        <w:rPr>
          <w:rFonts w:ascii="Cambria" w:hAnsi="Cambria"/>
        </w:rPr>
        <w:t xml:space="preserve">Комисията установила, че в нарушение на закона при осъждането на молителя е бил приложен по-неблагоприятния за него закон. Към момента на извършване на престъплението, за което молителят е осъден, законът е предвиждал смъртно наказание (под мораториум) или лишаване от свобода до 20 години. Към момента на влизане в сила на присъдата смъртното наказание е заменено с ,,доживотен затвор без замяна“, приложимо при </w:t>
      </w:r>
      <w:r w:rsidRPr="00A50201">
        <w:rPr>
          <w:rFonts w:ascii="Cambria" w:hAnsi="Cambria"/>
        </w:rPr>
        <w:lastRenderedPageBreak/>
        <w:t>същите предпоставки, а като негова по-лека алтернатива е въведено наказанието ,,доживотен затвор“.</w:t>
      </w:r>
    </w:p>
    <w:p w:rsidR="002A6283" w:rsidRPr="00A50201" w:rsidRDefault="002A6283" w:rsidP="002A6283">
      <w:pPr>
        <w:pStyle w:val="ListParagraph"/>
        <w:ind w:left="0" w:firstLine="708"/>
        <w:jc w:val="both"/>
        <w:rPr>
          <w:rFonts w:ascii="Cambria" w:hAnsi="Cambria"/>
        </w:rPr>
      </w:pPr>
      <w:r w:rsidRPr="00A50201">
        <w:rPr>
          <w:rFonts w:ascii="Cambria" w:hAnsi="Cambria"/>
        </w:rPr>
        <w:t>ВКС приел, че не са налице предпоставките за най-тежкото наказание. При такъв извод приложимото наказание е по-леката алтернатива на най-тежкото наказание</w:t>
      </w:r>
      <w:r w:rsidR="009205C9">
        <w:rPr>
          <w:rFonts w:ascii="Cambria" w:hAnsi="Cambria"/>
        </w:rPr>
        <w:t xml:space="preserve"> съгласно чл.  2 от НК</w:t>
      </w:r>
      <w:r w:rsidRPr="00A50201">
        <w:rPr>
          <w:rFonts w:ascii="Cambria" w:hAnsi="Cambria"/>
        </w:rPr>
        <w:t xml:space="preserve">. Към момента на извършване на деянията тя е била срочно лишаване от свобода до 20 години, а към момента на осъждането (2000 г.) – доживотен затвор. Сравнението между двете </w:t>
      </w:r>
      <w:r w:rsidR="000F156B">
        <w:rPr>
          <w:rFonts w:ascii="Cambria" w:hAnsi="Cambria"/>
        </w:rPr>
        <w:t xml:space="preserve">според Комисията </w:t>
      </w:r>
      <w:r w:rsidRPr="00A50201">
        <w:rPr>
          <w:rFonts w:ascii="Cambria" w:hAnsi="Cambria"/>
        </w:rPr>
        <w:t xml:space="preserve">ясно показва, че по-благоприятен за дееца е действащият към момента на престъпленията му закон, който предвижда максимално наказание от 20 години лишаване от свобода. </w:t>
      </w:r>
      <w:r w:rsidR="00393E2F">
        <w:rPr>
          <w:rFonts w:ascii="Cambria" w:hAnsi="Cambria"/>
        </w:rPr>
        <w:t>Молителят обаче е нак</w:t>
      </w:r>
      <w:r w:rsidR="009205C9">
        <w:rPr>
          <w:rFonts w:ascii="Cambria" w:hAnsi="Cambria"/>
        </w:rPr>
        <w:t>азан с доживотен затвор</w:t>
      </w:r>
      <w:r w:rsidRPr="00A50201">
        <w:rPr>
          <w:rFonts w:ascii="Cambria" w:hAnsi="Cambria"/>
        </w:rPr>
        <w:t xml:space="preserve">. </w:t>
      </w:r>
      <w:bookmarkStart w:id="0" w:name="_GoBack"/>
      <w:bookmarkEnd w:id="0"/>
      <w:r w:rsidR="000F156B" w:rsidRPr="00A50201">
        <w:rPr>
          <w:rFonts w:ascii="Cambria" w:hAnsi="Cambria"/>
        </w:rPr>
        <w:t>Към момента на произнасяне на Комисията е изтърпял фактически над 23 години.</w:t>
      </w:r>
    </w:p>
    <w:p w:rsidR="002A6283" w:rsidRPr="00A50201" w:rsidRDefault="002A6283" w:rsidP="002A6283">
      <w:pPr>
        <w:pStyle w:val="ListParagraph"/>
        <w:ind w:left="0" w:firstLine="708"/>
        <w:jc w:val="both"/>
        <w:rPr>
          <w:rFonts w:ascii="Cambria" w:hAnsi="Cambria"/>
        </w:rPr>
      </w:pPr>
      <w:r w:rsidRPr="00A50201">
        <w:rPr>
          <w:rFonts w:ascii="Cambria" w:hAnsi="Cambria"/>
        </w:rPr>
        <w:t xml:space="preserve">Комисията направила извод, че </w:t>
      </w:r>
      <w:r w:rsidRPr="009205C9">
        <w:rPr>
          <w:rFonts w:ascii="Cambria" w:hAnsi="Cambria"/>
        </w:rPr>
        <w:t>помилването е най-краткият път към прекр</w:t>
      </w:r>
      <w:r w:rsidR="009205C9" w:rsidRPr="009205C9">
        <w:rPr>
          <w:rFonts w:ascii="Cambria" w:hAnsi="Cambria"/>
        </w:rPr>
        <w:t>атяване на така установеното</w:t>
      </w:r>
      <w:r w:rsidRPr="009205C9">
        <w:rPr>
          <w:rFonts w:ascii="Cambria" w:hAnsi="Cambria"/>
        </w:rPr>
        <w:t xml:space="preserve"> нарушени</w:t>
      </w:r>
      <w:r w:rsidR="009205C9" w:rsidRPr="009205C9">
        <w:rPr>
          <w:rFonts w:ascii="Cambria" w:hAnsi="Cambria"/>
        </w:rPr>
        <w:t>е</w:t>
      </w:r>
      <w:r w:rsidRPr="009205C9">
        <w:rPr>
          <w:rFonts w:ascii="Cambria" w:hAnsi="Cambria"/>
        </w:rPr>
        <w:t>, ко</w:t>
      </w:r>
      <w:r w:rsidR="009205C9" w:rsidRPr="009205C9">
        <w:rPr>
          <w:rFonts w:ascii="Cambria" w:hAnsi="Cambria"/>
        </w:rPr>
        <w:t>ето създава</w:t>
      </w:r>
      <w:r w:rsidRPr="009205C9">
        <w:rPr>
          <w:rFonts w:ascii="Cambria" w:hAnsi="Cambria"/>
        </w:rPr>
        <w:t xml:space="preserve"> нетърпимо правно състояние.</w:t>
      </w:r>
    </w:p>
    <w:p w:rsidR="002A6283" w:rsidRPr="00A50201" w:rsidRDefault="002A6283" w:rsidP="002A6283">
      <w:pPr>
        <w:pStyle w:val="ListParagraph"/>
        <w:ind w:left="0" w:firstLine="708"/>
        <w:jc w:val="both"/>
        <w:rPr>
          <w:rFonts w:ascii="Cambria" w:hAnsi="Cambria"/>
        </w:rPr>
      </w:pPr>
      <w:r w:rsidRPr="00A50201">
        <w:rPr>
          <w:rFonts w:ascii="Cambria" w:hAnsi="Cambria"/>
        </w:rPr>
        <w:t xml:space="preserve">Комисията установила в допълнение и данни за завършил корекционен процес. Комисията се солидаризира с направените от съда изводи за молителя, които очертават личност със съхранени социални контакти, изградени и активни трудови навици, подобрена социална компетентност, за която е трудно да бъде защитен изводът, че е опасна за обществото. Изключително ниските стойности на рецидивния риск, достигнати в резултат на постоянна тенденция на снижаване (без </w:t>
      </w:r>
      <w:proofErr w:type="spellStart"/>
      <w:r w:rsidRPr="00A50201">
        <w:rPr>
          <w:rFonts w:ascii="Cambria" w:hAnsi="Cambria"/>
        </w:rPr>
        <w:t>рецидивно</w:t>
      </w:r>
      <w:proofErr w:type="spellEnd"/>
      <w:r w:rsidRPr="00A50201">
        <w:rPr>
          <w:rFonts w:ascii="Cambria" w:hAnsi="Cambria"/>
        </w:rPr>
        <w:t xml:space="preserve"> покачване) и задържани в тези стойности за значителен период от време, показват, че корекционният процес е завършил. Липсва обществена необходимост молителят да продължава да търпи наказанието си. </w:t>
      </w:r>
    </w:p>
    <w:p w:rsidR="002A6283" w:rsidRPr="00A50201" w:rsidRDefault="002A6283" w:rsidP="002A6283">
      <w:pPr>
        <w:pStyle w:val="ListParagraph"/>
        <w:ind w:left="0" w:firstLine="708"/>
        <w:jc w:val="both"/>
        <w:rPr>
          <w:rFonts w:ascii="Cambria" w:hAnsi="Cambria"/>
        </w:rPr>
      </w:pPr>
      <w:r w:rsidRPr="00A50201">
        <w:rPr>
          <w:rFonts w:ascii="Cambria" w:hAnsi="Cambria"/>
        </w:rPr>
        <w:t xml:space="preserve">С </w:t>
      </w:r>
      <w:r w:rsidRPr="00A50201">
        <w:rPr>
          <w:rFonts w:ascii="Cambria" w:hAnsi="Cambria"/>
          <w:b/>
        </w:rPr>
        <w:t>Указ № 30/16.02.2015 г.</w:t>
      </w:r>
      <w:r w:rsidRPr="00A50201">
        <w:rPr>
          <w:rFonts w:ascii="Cambria" w:hAnsi="Cambria"/>
        </w:rPr>
        <w:t xml:space="preserve"> </w:t>
      </w:r>
      <w:r w:rsidRPr="0045334A">
        <w:rPr>
          <w:rFonts w:ascii="Cambria" w:hAnsi="Cambria"/>
        </w:rPr>
        <w:t>м</w:t>
      </w:r>
      <w:r w:rsidRPr="00A50201">
        <w:rPr>
          <w:rFonts w:ascii="Cambria" w:hAnsi="Cambria"/>
        </w:rPr>
        <w:t>олителят е помилван с остатъка от наказанието си – малко под 7 години.</w:t>
      </w:r>
    </w:p>
    <w:p w:rsidR="002A6283" w:rsidRPr="00A50201" w:rsidRDefault="002A6283" w:rsidP="002A6283">
      <w:pPr>
        <w:ind w:firstLine="708"/>
        <w:jc w:val="both"/>
        <w:rPr>
          <w:rFonts w:ascii="Cambria" w:hAnsi="Cambria"/>
        </w:rPr>
      </w:pPr>
    </w:p>
    <w:p w:rsidR="002A6283" w:rsidRPr="00A50201" w:rsidRDefault="002A6283" w:rsidP="002A6283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  <w:b/>
        </w:rPr>
        <w:t>2</w:t>
      </w:r>
      <w:r>
        <w:rPr>
          <w:rFonts w:ascii="Cambria" w:hAnsi="Cambria"/>
        </w:rPr>
        <w:t>. Молителят е 38-годише</w:t>
      </w:r>
      <w:r w:rsidRPr="00A50201">
        <w:rPr>
          <w:rFonts w:ascii="Cambria" w:hAnsi="Cambria"/>
        </w:rPr>
        <w:t>н български гражданин със средно образование, с чисто съдебно минало, който изтърпява наказание от 20 години лишаване от свобода за съучастие в хулиганско убийство на 24-годишен младеж, негов връстник. Фактически е изтърпял 12 години и 1 месец от наказанието си.</w:t>
      </w:r>
    </w:p>
    <w:p w:rsidR="002A6283" w:rsidRPr="00A50201" w:rsidRDefault="002A6283" w:rsidP="002A6283">
      <w:pPr>
        <w:ind w:firstLine="708"/>
        <w:jc w:val="both"/>
        <w:rPr>
          <w:rFonts w:ascii="Cambria" w:hAnsi="Cambria"/>
        </w:rPr>
      </w:pPr>
      <w:r w:rsidRPr="00A50201">
        <w:rPr>
          <w:rFonts w:ascii="Cambria" w:hAnsi="Cambria"/>
        </w:rPr>
        <w:t xml:space="preserve">Според Комисията престъплението е изолирана проява, извършена в относително млада възраст и под влиянието на съизвършители, но въпреки това то се отличава с упоритост и интензивност, които предполагат висока взискателност към корекционния процес. При анализа на този процес Комисията установила, че той протича успешно и се намира в заключителните си етапи. Рискът от рецидив е снижен от 72 на 19 точки или 53 точки за период от 12 години. В момента е много нисък, като почти липсват дефицити. </w:t>
      </w:r>
    </w:p>
    <w:p w:rsidR="002A6283" w:rsidRPr="00A50201" w:rsidRDefault="002A6283" w:rsidP="002A6283">
      <w:pPr>
        <w:ind w:firstLine="708"/>
        <w:jc w:val="both"/>
        <w:rPr>
          <w:rFonts w:ascii="Cambria" w:hAnsi="Cambria"/>
        </w:rPr>
      </w:pPr>
      <w:r w:rsidRPr="00A50201">
        <w:rPr>
          <w:rFonts w:ascii="Cambria" w:hAnsi="Cambria"/>
        </w:rPr>
        <w:t xml:space="preserve">Комисията изтъква, че сам по себе си корекционният процес не е основание за помилване, а очакван ефект на наказанието. Въпреки това в разглеждания случай този процес се е развил и приключил в срок, който обичайно е значително по-дълъг. Така молителят е изправен пред необходимостта да търпи значителен по продължителност остатък. Междувременно молителят е съхранил социалните си контакти и е успял да създаде семейство, в което предстои раждане на дете. Налице е житейска перспектива за социално и лично развитие след излизане от затвора, вкл. трудова заетост и интеграция в ново семейство, готово да подкрепи </w:t>
      </w:r>
      <w:proofErr w:type="spellStart"/>
      <w:r w:rsidRPr="00A50201">
        <w:rPr>
          <w:rFonts w:ascii="Cambria" w:hAnsi="Cambria"/>
        </w:rPr>
        <w:t>ресоциализацията</w:t>
      </w:r>
      <w:proofErr w:type="spellEnd"/>
      <w:r w:rsidRPr="00A50201">
        <w:rPr>
          <w:rFonts w:ascii="Cambria" w:hAnsi="Cambria"/>
        </w:rPr>
        <w:t xml:space="preserve"> му. Поведението в затвора е позитивно, при висока лична мотивация за промяна. Предсрочното освобождаване желателно, вкл. от гледище необходимостта от бързо финансово и трудово стабилизиране с оглед издръжката на семейството и изплащане на гражданските искове. </w:t>
      </w:r>
    </w:p>
    <w:p w:rsidR="002A6283" w:rsidRPr="00A50201" w:rsidRDefault="002A6283" w:rsidP="002A6283">
      <w:pPr>
        <w:ind w:firstLine="708"/>
        <w:jc w:val="both"/>
        <w:rPr>
          <w:rFonts w:ascii="Cambria" w:hAnsi="Cambria"/>
        </w:rPr>
      </w:pPr>
      <w:r w:rsidRPr="00A50201">
        <w:rPr>
          <w:rFonts w:ascii="Cambria" w:hAnsi="Cambria"/>
        </w:rPr>
        <w:t xml:space="preserve">С оглед обстоятелството, че осъденият вече не представлява опасност за обществото, както и принципната необходимост успешните усилия за поправяне да получават признание от държавата, Комисията е предложила молителят да бъде помилван с част от остатъка от наказанието, която не надхвърля 12 месеца </w:t>
      </w:r>
    </w:p>
    <w:p w:rsidR="002A6283" w:rsidRDefault="002A6283" w:rsidP="002A6283">
      <w:pPr>
        <w:ind w:firstLine="708"/>
        <w:jc w:val="both"/>
        <w:rPr>
          <w:rFonts w:ascii="Cambria" w:hAnsi="Cambria"/>
        </w:rPr>
      </w:pPr>
      <w:r w:rsidRPr="00A50201">
        <w:rPr>
          <w:rFonts w:ascii="Cambria" w:hAnsi="Cambria"/>
        </w:rPr>
        <w:lastRenderedPageBreak/>
        <w:t xml:space="preserve">С </w:t>
      </w:r>
      <w:r w:rsidRPr="00A50201">
        <w:rPr>
          <w:rFonts w:ascii="Cambria" w:hAnsi="Cambria"/>
          <w:b/>
        </w:rPr>
        <w:t xml:space="preserve">Указ № 49/19.03.2015 г. </w:t>
      </w:r>
      <w:r w:rsidRPr="00A50201">
        <w:rPr>
          <w:rFonts w:ascii="Cambria" w:hAnsi="Cambria"/>
        </w:rPr>
        <w:t xml:space="preserve"> молителят е помилван с 9 месеца от остатъка от наказанието си.</w:t>
      </w:r>
    </w:p>
    <w:p w:rsidR="002E77D6" w:rsidRPr="009C3004" w:rsidRDefault="002E77D6" w:rsidP="002E77D6">
      <w:pPr>
        <w:ind w:firstLine="708"/>
        <w:jc w:val="both"/>
        <w:rPr>
          <w:rFonts w:asciiTheme="majorHAnsi" w:hAnsiTheme="majorHAnsi"/>
        </w:rPr>
      </w:pPr>
    </w:p>
    <w:p w:rsidR="001F67EB" w:rsidRPr="0044379E" w:rsidRDefault="001F67EB" w:rsidP="001F67EB">
      <w:pPr>
        <w:ind w:firstLine="709"/>
        <w:jc w:val="both"/>
        <w:rPr>
          <w:rFonts w:asciiTheme="majorHAnsi" w:hAnsiTheme="majorHAnsi"/>
        </w:rPr>
      </w:pPr>
    </w:p>
    <w:p w:rsidR="001F67EB" w:rsidRPr="00705C66" w:rsidRDefault="00D3610C" w:rsidP="00705C66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8"/>
          <w:szCs w:val="28"/>
        </w:rPr>
      </w:pPr>
      <w:r w:rsidRPr="00705C66">
        <w:rPr>
          <w:rFonts w:asciiTheme="majorHAnsi" w:hAnsiTheme="majorHAnsi"/>
          <w:b/>
          <w:sz w:val="28"/>
          <w:szCs w:val="28"/>
        </w:rPr>
        <w:t>ДОПЪЛНИТЕЛНИ</w:t>
      </w:r>
      <w:r w:rsidR="00476C51" w:rsidRPr="00705C66">
        <w:rPr>
          <w:rFonts w:asciiTheme="majorHAnsi" w:hAnsiTheme="majorHAnsi"/>
          <w:b/>
          <w:sz w:val="28"/>
          <w:szCs w:val="28"/>
        </w:rPr>
        <w:t xml:space="preserve"> ДЕЙНОСТИ </w:t>
      </w:r>
      <w:proofErr w:type="spellStart"/>
      <w:r w:rsidR="00476C51" w:rsidRPr="00705C66">
        <w:rPr>
          <w:rFonts w:asciiTheme="majorHAnsi" w:hAnsiTheme="majorHAnsi"/>
          <w:b/>
          <w:sz w:val="28"/>
          <w:szCs w:val="28"/>
        </w:rPr>
        <w:t>И</w:t>
      </w:r>
      <w:proofErr w:type="spellEnd"/>
      <w:r w:rsidR="00476C51" w:rsidRPr="00705C66">
        <w:rPr>
          <w:rFonts w:asciiTheme="majorHAnsi" w:hAnsiTheme="majorHAnsi"/>
          <w:b/>
          <w:sz w:val="28"/>
          <w:szCs w:val="28"/>
        </w:rPr>
        <w:t xml:space="preserve"> СТАЖАНТСКО ОБУЧЕНИЕ</w:t>
      </w:r>
    </w:p>
    <w:p w:rsidR="00D3610C" w:rsidRDefault="00D3610C" w:rsidP="00762402">
      <w:pPr>
        <w:ind w:firstLine="708"/>
        <w:jc w:val="both"/>
        <w:rPr>
          <w:rFonts w:asciiTheme="majorHAnsi" w:hAnsiTheme="majorHAnsi"/>
        </w:rPr>
      </w:pPr>
    </w:p>
    <w:p w:rsidR="002A6283" w:rsidRDefault="002E77D6" w:rsidP="002E77D6">
      <w:pPr>
        <w:pStyle w:val="ListParagraph"/>
        <w:ind w:left="0" w:firstLine="708"/>
        <w:jc w:val="both"/>
        <w:rPr>
          <w:rFonts w:ascii="Cambria" w:hAnsi="Cambria"/>
        </w:rPr>
      </w:pPr>
      <w:r w:rsidRPr="002E77D6">
        <w:rPr>
          <w:rFonts w:ascii="Cambria" w:hAnsi="Cambria"/>
        </w:rPr>
        <w:t xml:space="preserve">През </w:t>
      </w:r>
      <w:r w:rsidR="002A6283">
        <w:rPr>
          <w:rFonts w:ascii="Cambria" w:hAnsi="Cambria"/>
        </w:rPr>
        <w:t xml:space="preserve">първото тримесечие на </w:t>
      </w:r>
      <w:r w:rsidRPr="002E77D6">
        <w:rPr>
          <w:rFonts w:ascii="Cambria" w:hAnsi="Cambria"/>
        </w:rPr>
        <w:t>201</w:t>
      </w:r>
      <w:r w:rsidR="002A6283">
        <w:rPr>
          <w:rFonts w:ascii="Cambria" w:hAnsi="Cambria"/>
        </w:rPr>
        <w:t>5</w:t>
      </w:r>
      <w:r w:rsidRPr="002E77D6">
        <w:rPr>
          <w:rFonts w:ascii="Cambria" w:hAnsi="Cambria"/>
        </w:rPr>
        <w:t xml:space="preserve"> </w:t>
      </w:r>
      <w:r w:rsidR="002A6283">
        <w:rPr>
          <w:rFonts w:ascii="Cambria" w:hAnsi="Cambria"/>
        </w:rPr>
        <w:t>г. към Комисията успешно завърши стажът на 6 стажанти и запо</w:t>
      </w:r>
      <w:r w:rsidR="007565E2">
        <w:rPr>
          <w:rFonts w:ascii="Cambria" w:hAnsi="Cambria"/>
        </w:rPr>
        <w:t>чна стажът на нов екип от общо 6</w:t>
      </w:r>
      <w:r w:rsidR="002A6283">
        <w:rPr>
          <w:rFonts w:ascii="Cambria" w:hAnsi="Cambria"/>
        </w:rPr>
        <w:t xml:space="preserve"> стажанти. </w:t>
      </w:r>
    </w:p>
    <w:p w:rsidR="002A6283" w:rsidRDefault="002A6283" w:rsidP="002E77D6">
      <w:pPr>
        <w:pStyle w:val="ListParagraph"/>
        <w:ind w:left="0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В рамките на стажантското обучение се провежда изследване на практиката по помилване по отношение на молители, страдащи от различни заболявания, както и изследване на практиката по помилване по отношение на извършители на трафик на хора. </w:t>
      </w:r>
    </w:p>
    <w:p w:rsidR="000E0546" w:rsidRDefault="00762402" w:rsidP="00D3610C">
      <w:pPr>
        <w:ind w:firstLine="708"/>
        <w:jc w:val="both"/>
        <w:rPr>
          <w:rFonts w:asciiTheme="majorHAnsi" w:hAnsiTheme="majorHAnsi"/>
        </w:rPr>
      </w:pPr>
      <w:r w:rsidRPr="002E77D6">
        <w:rPr>
          <w:rFonts w:ascii="Cambria" w:hAnsi="Cambria"/>
        </w:rPr>
        <w:t xml:space="preserve">През </w:t>
      </w:r>
      <w:r w:rsidR="00D572DF" w:rsidRPr="002E77D6">
        <w:rPr>
          <w:rFonts w:ascii="Cambria" w:hAnsi="Cambria"/>
        </w:rPr>
        <w:t xml:space="preserve">отчетния период Комисията обобщи практиката си през изтеклата </w:t>
      </w:r>
      <w:r w:rsidR="002A6283">
        <w:rPr>
          <w:rFonts w:ascii="Cambria" w:hAnsi="Cambria"/>
        </w:rPr>
        <w:t>трета</w:t>
      </w:r>
      <w:r w:rsidR="00D572DF" w:rsidRPr="002E77D6">
        <w:rPr>
          <w:rFonts w:ascii="Cambria" w:hAnsi="Cambria"/>
        </w:rPr>
        <w:t xml:space="preserve"> година</w:t>
      </w:r>
      <w:r w:rsidR="00D572DF">
        <w:rPr>
          <w:rFonts w:asciiTheme="majorHAnsi" w:hAnsiTheme="majorHAnsi"/>
        </w:rPr>
        <w:t xml:space="preserve"> от мандата и подготви </w:t>
      </w:r>
      <w:r w:rsidR="002A6283">
        <w:rPr>
          <w:rFonts w:asciiTheme="majorHAnsi" w:hAnsiTheme="majorHAnsi"/>
        </w:rPr>
        <w:t xml:space="preserve">третия </w:t>
      </w:r>
      <w:r w:rsidR="00D572DF" w:rsidRPr="00D572DF">
        <w:rPr>
          <w:rFonts w:asciiTheme="majorHAnsi" w:hAnsiTheme="majorHAnsi"/>
          <w:b/>
        </w:rPr>
        <w:t>годишен доклад</w:t>
      </w:r>
      <w:r w:rsidR="00D572DF">
        <w:rPr>
          <w:rFonts w:asciiTheme="majorHAnsi" w:hAnsiTheme="majorHAnsi"/>
        </w:rPr>
        <w:t xml:space="preserve"> за дейността си, </w:t>
      </w:r>
      <w:r w:rsidR="00D3610C">
        <w:rPr>
          <w:rFonts w:asciiTheme="majorHAnsi" w:hAnsiTheme="majorHAnsi"/>
        </w:rPr>
        <w:t>достъпен на електронната страница на президента.</w:t>
      </w:r>
    </w:p>
    <w:p w:rsidR="00D3610C" w:rsidRPr="006540EF" w:rsidRDefault="00D3610C" w:rsidP="00D3610C">
      <w:pPr>
        <w:ind w:firstLine="708"/>
        <w:jc w:val="both"/>
        <w:rPr>
          <w:rFonts w:asciiTheme="majorHAnsi" w:hAnsiTheme="majorHAnsi"/>
          <w:b/>
        </w:rPr>
      </w:pPr>
    </w:p>
    <w:p w:rsidR="00EF3501" w:rsidRDefault="00EF3501" w:rsidP="00D3610C">
      <w:pPr>
        <w:ind w:firstLine="708"/>
        <w:jc w:val="both"/>
        <w:rPr>
          <w:rFonts w:asciiTheme="majorHAnsi" w:hAnsiTheme="majorHAnsi"/>
        </w:rPr>
      </w:pPr>
    </w:p>
    <w:sectPr w:rsidR="00EF3501" w:rsidSect="00E411D2">
      <w:headerReference w:type="default" r:id="rId9"/>
      <w:footerReference w:type="even" r:id="rId10"/>
      <w:footerReference w:type="default" r:id="rId11"/>
      <w:pgSz w:w="11906" w:h="16838"/>
      <w:pgMar w:top="1418" w:right="902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8E5" w:rsidRDefault="00E648E5">
      <w:r>
        <w:separator/>
      </w:r>
    </w:p>
  </w:endnote>
  <w:endnote w:type="continuationSeparator" w:id="0">
    <w:p w:rsidR="00E648E5" w:rsidRDefault="00E6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EB" w:rsidRDefault="00B605EB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05EB" w:rsidRDefault="00B605EB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EB" w:rsidRDefault="00B605EB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732">
      <w:rPr>
        <w:rStyle w:val="PageNumber"/>
        <w:noProof/>
      </w:rPr>
      <w:t>5</w:t>
    </w:r>
    <w:r>
      <w:rPr>
        <w:rStyle w:val="PageNumber"/>
      </w:rPr>
      <w:fldChar w:fldCharType="end"/>
    </w:r>
  </w:p>
  <w:p w:rsidR="00B605EB" w:rsidRPr="005324D6" w:rsidRDefault="00B605EB" w:rsidP="002711C3">
    <w:pPr>
      <w:pStyle w:val="Header"/>
      <w:ind w:left="-851" w:right="360"/>
      <w:jc w:val="both"/>
      <w:rPr>
        <w:sz w:val="22"/>
        <w:szCs w:val="22"/>
      </w:rPr>
    </w:pPr>
  </w:p>
  <w:p w:rsidR="00B605EB" w:rsidRDefault="00B605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8E5" w:rsidRDefault="00E648E5">
      <w:r>
        <w:separator/>
      </w:r>
    </w:p>
  </w:footnote>
  <w:footnote w:type="continuationSeparator" w:id="0">
    <w:p w:rsidR="00E648E5" w:rsidRDefault="00E64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5EB" w:rsidRDefault="00F00520" w:rsidP="001E7C52">
    <w:pPr>
      <w:pStyle w:val="Head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ТРИ</w:t>
    </w:r>
    <w:r w:rsidR="00921B9B">
      <w:rPr>
        <w:rFonts w:asciiTheme="majorHAnsi" w:hAnsiTheme="majorHAnsi"/>
        <w:b/>
        <w:sz w:val="20"/>
        <w:szCs w:val="20"/>
      </w:rPr>
      <w:t>МЕСЕЧЕН</w:t>
    </w:r>
    <w:r w:rsidR="00B605EB">
      <w:rPr>
        <w:rFonts w:asciiTheme="majorHAnsi" w:hAnsiTheme="majorHAnsi"/>
        <w:b/>
        <w:sz w:val="20"/>
        <w:szCs w:val="20"/>
      </w:rPr>
      <w:t xml:space="preserve"> </w:t>
    </w:r>
    <w:r w:rsidR="00921B9B">
      <w:rPr>
        <w:rFonts w:asciiTheme="majorHAnsi" w:hAnsiTheme="majorHAnsi"/>
        <w:b/>
        <w:sz w:val="20"/>
        <w:szCs w:val="20"/>
      </w:rPr>
      <w:t>ОТЧЕТ</w:t>
    </w:r>
    <w:r w:rsidR="00B605EB">
      <w:rPr>
        <w:rFonts w:asciiTheme="majorHAnsi" w:hAnsiTheme="majorHAnsi"/>
        <w:b/>
        <w:sz w:val="20"/>
        <w:szCs w:val="20"/>
      </w:rPr>
      <w:t xml:space="preserve">                                         </w:t>
    </w:r>
    <w:r w:rsidR="00B605EB">
      <w:rPr>
        <w:rFonts w:asciiTheme="majorHAnsi" w:hAnsiTheme="majorHAnsi"/>
        <w:b/>
        <w:sz w:val="20"/>
        <w:szCs w:val="20"/>
      </w:rPr>
      <w:tab/>
    </w:r>
    <w:r w:rsidR="00B605EB">
      <w:rPr>
        <w:rFonts w:asciiTheme="majorHAnsi" w:hAnsiTheme="majorHAnsi"/>
        <w:b/>
        <w:sz w:val="20"/>
        <w:szCs w:val="20"/>
      </w:rPr>
      <w:tab/>
      <w:t xml:space="preserve">       </w:t>
    </w:r>
    <w:r w:rsidR="00B605EB">
      <w:rPr>
        <w:rFonts w:asciiTheme="majorHAnsi" w:hAnsiTheme="majorHAnsi"/>
        <w:b/>
        <w:sz w:val="20"/>
        <w:szCs w:val="20"/>
        <w:lang w:val="en-GB"/>
      </w:rPr>
      <w:t xml:space="preserve">                                           </w:t>
    </w:r>
    <w:r w:rsidR="00B605EB">
      <w:rPr>
        <w:rFonts w:asciiTheme="majorHAnsi" w:hAnsiTheme="majorHAnsi"/>
        <w:b/>
        <w:sz w:val="20"/>
        <w:szCs w:val="20"/>
      </w:rPr>
      <w:t xml:space="preserve">    КОМИСИЯ ПО ПОМИЛВАНЕТО ПРИ </w:t>
    </w:r>
  </w:p>
  <w:p w:rsidR="00B605EB" w:rsidRDefault="00B605EB" w:rsidP="003A7AFE">
    <w:pPr>
      <w:pStyle w:val="Header"/>
      <w:pBdr>
        <w:bottom w:val="single" w:sz="6" w:space="1" w:color="auto"/>
      </w:pBdr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ЯНУАРИ – </w:t>
    </w:r>
    <w:r w:rsidR="00921B9B">
      <w:rPr>
        <w:rFonts w:asciiTheme="majorHAnsi" w:hAnsiTheme="majorHAnsi"/>
        <w:b/>
        <w:sz w:val="20"/>
        <w:szCs w:val="20"/>
      </w:rPr>
      <w:t>МАРТ</w:t>
    </w:r>
    <w:r>
      <w:rPr>
        <w:rFonts w:asciiTheme="majorHAnsi" w:hAnsiTheme="majorHAnsi"/>
        <w:b/>
        <w:sz w:val="20"/>
        <w:szCs w:val="20"/>
      </w:rPr>
      <w:t xml:space="preserve"> 2015 г.     </w:t>
    </w:r>
    <w:r>
      <w:rPr>
        <w:rFonts w:asciiTheme="majorHAnsi" w:hAnsiTheme="majorHAnsi"/>
        <w:b/>
        <w:sz w:val="20"/>
        <w:szCs w:val="20"/>
      </w:rPr>
      <w:tab/>
      <w:t xml:space="preserve">                                                        </w:t>
    </w:r>
    <w:r w:rsidR="00921B9B">
      <w:rPr>
        <w:rFonts w:asciiTheme="majorHAnsi" w:hAnsiTheme="majorHAnsi"/>
        <w:b/>
        <w:sz w:val="20"/>
        <w:szCs w:val="20"/>
      </w:rPr>
      <w:t xml:space="preserve">                 </w:t>
    </w:r>
    <w:r>
      <w:rPr>
        <w:rFonts w:asciiTheme="majorHAnsi" w:hAnsiTheme="majorHAnsi"/>
        <w:b/>
        <w:sz w:val="20"/>
        <w:szCs w:val="20"/>
      </w:rPr>
      <w:t xml:space="preserve">              ПРЕЗИДЕНТА НА РЕПУБЛИКА БЪЛГАРИЯ</w:t>
    </w:r>
  </w:p>
  <w:p w:rsidR="00B605EB" w:rsidRPr="001E7C52" w:rsidRDefault="00B605EB" w:rsidP="001E7C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1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8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8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19"/>
  </w:num>
  <w:num w:numId="4">
    <w:abstractNumId w:val="3"/>
  </w:num>
  <w:num w:numId="5">
    <w:abstractNumId w:val="14"/>
  </w:num>
  <w:num w:numId="6">
    <w:abstractNumId w:val="4"/>
  </w:num>
  <w:num w:numId="7">
    <w:abstractNumId w:val="29"/>
  </w:num>
  <w:num w:numId="8">
    <w:abstractNumId w:val="15"/>
  </w:num>
  <w:num w:numId="9">
    <w:abstractNumId w:val="5"/>
  </w:num>
  <w:num w:numId="10">
    <w:abstractNumId w:val="7"/>
  </w:num>
  <w:num w:numId="11">
    <w:abstractNumId w:val="21"/>
  </w:num>
  <w:num w:numId="12">
    <w:abstractNumId w:val="6"/>
  </w:num>
  <w:num w:numId="13">
    <w:abstractNumId w:val="22"/>
  </w:num>
  <w:num w:numId="14">
    <w:abstractNumId w:val="26"/>
  </w:num>
  <w:num w:numId="15">
    <w:abstractNumId w:val="2"/>
  </w:num>
  <w:num w:numId="16">
    <w:abstractNumId w:val="1"/>
  </w:num>
  <w:num w:numId="17">
    <w:abstractNumId w:val="28"/>
  </w:num>
  <w:num w:numId="18">
    <w:abstractNumId w:val="23"/>
  </w:num>
  <w:num w:numId="19">
    <w:abstractNumId w:val="10"/>
  </w:num>
  <w:num w:numId="20">
    <w:abstractNumId w:val="20"/>
  </w:num>
  <w:num w:numId="21">
    <w:abstractNumId w:val="25"/>
  </w:num>
  <w:num w:numId="22">
    <w:abstractNumId w:val="0"/>
  </w:num>
  <w:num w:numId="23">
    <w:abstractNumId w:val="16"/>
  </w:num>
  <w:num w:numId="24">
    <w:abstractNumId w:val="18"/>
  </w:num>
  <w:num w:numId="25">
    <w:abstractNumId w:val="31"/>
  </w:num>
  <w:num w:numId="26">
    <w:abstractNumId w:val="17"/>
  </w:num>
  <w:num w:numId="27">
    <w:abstractNumId w:val="8"/>
  </w:num>
  <w:num w:numId="28">
    <w:abstractNumId w:val="24"/>
  </w:num>
  <w:num w:numId="29">
    <w:abstractNumId w:val="11"/>
  </w:num>
  <w:num w:numId="30">
    <w:abstractNumId w:val="27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3F4F"/>
    <w:rsid w:val="00010E90"/>
    <w:rsid w:val="0001113F"/>
    <w:rsid w:val="0001275A"/>
    <w:rsid w:val="00024AC9"/>
    <w:rsid w:val="00034E64"/>
    <w:rsid w:val="000410F1"/>
    <w:rsid w:val="000416DA"/>
    <w:rsid w:val="00043522"/>
    <w:rsid w:val="0004427B"/>
    <w:rsid w:val="00045CF0"/>
    <w:rsid w:val="000507BB"/>
    <w:rsid w:val="00050FAD"/>
    <w:rsid w:val="00057AE5"/>
    <w:rsid w:val="00060F62"/>
    <w:rsid w:val="00066C19"/>
    <w:rsid w:val="00066F23"/>
    <w:rsid w:val="00067CB0"/>
    <w:rsid w:val="00072E0B"/>
    <w:rsid w:val="00085F10"/>
    <w:rsid w:val="00092B0D"/>
    <w:rsid w:val="00095044"/>
    <w:rsid w:val="000A5EFC"/>
    <w:rsid w:val="000A6FA7"/>
    <w:rsid w:val="000B05C6"/>
    <w:rsid w:val="000B4FD2"/>
    <w:rsid w:val="000B5F16"/>
    <w:rsid w:val="000C0824"/>
    <w:rsid w:val="000C25AD"/>
    <w:rsid w:val="000C379C"/>
    <w:rsid w:val="000D0A17"/>
    <w:rsid w:val="000E0546"/>
    <w:rsid w:val="000E356B"/>
    <w:rsid w:val="000E3674"/>
    <w:rsid w:val="000F0C79"/>
    <w:rsid w:val="000F156B"/>
    <w:rsid w:val="000F4F1F"/>
    <w:rsid w:val="000F58A1"/>
    <w:rsid w:val="000F7DEC"/>
    <w:rsid w:val="00100585"/>
    <w:rsid w:val="00101A84"/>
    <w:rsid w:val="001045A0"/>
    <w:rsid w:val="001067BD"/>
    <w:rsid w:val="001125C1"/>
    <w:rsid w:val="00116D9B"/>
    <w:rsid w:val="00127A87"/>
    <w:rsid w:val="00134504"/>
    <w:rsid w:val="0013452A"/>
    <w:rsid w:val="001353E7"/>
    <w:rsid w:val="001372D1"/>
    <w:rsid w:val="00140756"/>
    <w:rsid w:val="00140A48"/>
    <w:rsid w:val="00154ACB"/>
    <w:rsid w:val="00155DD4"/>
    <w:rsid w:val="0015787C"/>
    <w:rsid w:val="001614A4"/>
    <w:rsid w:val="00166B10"/>
    <w:rsid w:val="001743D8"/>
    <w:rsid w:val="00177D84"/>
    <w:rsid w:val="00180755"/>
    <w:rsid w:val="0019109D"/>
    <w:rsid w:val="00193274"/>
    <w:rsid w:val="00193725"/>
    <w:rsid w:val="001962B7"/>
    <w:rsid w:val="001A1071"/>
    <w:rsid w:val="001A1195"/>
    <w:rsid w:val="001A1D07"/>
    <w:rsid w:val="001A3BCF"/>
    <w:rsid w:val="001A790C"/>
    <w:rsid w:val="001B0C39"/>
    <w:rsid w:val="001C1E60"/>
    <w:rsid w:val="001C1EAE"/>
    <w:rsid w:val="001C2585"/>
    <w:rsid w:val="001D3640"/>
    <w:rsid w:val="001D594D"/>
    <w:rsid w:val="001D7D50"/>
    <w:rsid w:val="001E06B7"/>
    <w:rsid w:val="001E448C"/>
    <w:rsid w:val="001E5CC2"/>
    <w:rsid w:val="001E7832"/>
    <w:rsid w:val="001E7C52"/>
    <w:rsid w:val="001F67EB"/>
    <w:rsid w:val="00200866"/>
    <w:rsid w:val="00200C94"/>
    <w:rsid w:val="00202078"/>
    <w:rsid w:val="002040D9"/>
    <w:rsid w:val="00204BB4"/>
    <w:rsid w:val="00207CEC"/>
    <w:rsid w:val="002109E7"/>
    <w:rsid w:val="00212254"/>
    <w:rsid w:val="00220032"/>
    <w:rsid w:val="00221C72"/>
    <w:rsid w:val="0023057B"/>
    <w:rsid w:val="00242433"/>
    <w:rsid w:val="00242C49"/>
    <w:rsid w:val="00247614"/>
    <w:rsid w:val="0025055E"/>
    <w:rsid w:val="00254EAF"/>
    <w:rsid w:val="002609A3"/>
    <w:rsid w:val="00262A43"/>
    <w:rsid w:val="00265FC6"/>
    <w:rsid w:val="002711C3"/>
    <w:rsid w:val="00271EBE"/>
    <w:rsid w:val="00273859"/>
    <w:rsid w:val="00286E04"/>
    <w:rsid w:val="00296B63"/>
    <w:rsid w:val="002A1E6F"/>
    <w:rsid w:val="002A2000"/>
    <w:rsid w:val="002A6283"/>
    <w:rsid w:val="002A6284"/>
    <w:rsid w:val="002A6502"/>
    <w:rsid w:val="002A7960"/>
    <w:rsid w:val="002B1760"/>
    <w:rsid w:val="002B3D88"/>
    <w:rsid w:val="002B7B97"/>
    <w:rsid w:val="002C52F8"/>
    <w:rsid w:val="002C7147"/>
    <w:rsid w:val="002D69BA"/>
    <w:rsid w:val="002E28F0"/>
    <w:rsid w:val="002E77D6"/>
    <w:rsid w:val="002F23FE"/>
    <w:rsid w:val="002F5CF3"/>
    <w:rsid w:val="002F7A7F"/>
    <w:rsid w:val="003052EA"/>
    <w:rsid w:val="00307BCB"/>
    <w:rsid w:val="003202B9"/>
    <w:rsid w:val="00321A29"/>
    <w:rsid w:val="003249CD"/>
    <w:rsid w:val="0032734F"/>
    <w:rsid w:val="003418BF"/>
    <w:rsid w:val="00344839"/>
    <w:rsid w:val="00352146"/>
    <w:rsid w:val="003562FA"/>
    <w:rsid w:val="00357002"/>
    <w:rsid w:val="00360FC0"/>
    <w:rsid w:val="00363B08"/>
    <w:rsid w:val="00364539"/>
    <w:rsid w:val="00364EEC"/>
    <w:rsid w:val="00373B00"/>
    <w:rsid w:val="00374BC4"/>
    <w:rsid w:val="003857AC"/>
    <w:rsid w:val="00393E2F"/>
    <w:rsid w:val="003A08C0"/>
    <w:rsid w:val="003A1FA3"/>
    <w:rsid w:val="003A6835"/>
    <w:rsid w:val="003A7AFE"/>
    <w:rsid w:val="003B159E"/>
    <w:rsid w:val="003B634C"/>
    <w:rsid w:val="003B67A2"/>
    <w:rsid w:val="003B70CB"/>
    <w:rsid w:val="003C4602"/>
    <w:rsid w:val="003D19DB"/>
    <w:rsid w:val="003D33EF"/>
    <w:rsid w:val="003E5A04"/>
    <w:rsid w:val="003E733F"/>
    <w:rsid w:val="003E7385"/>
    <w:rsid w:val="003F0071"/>
    <w:rsid w:val="003F0FEB"/>
    <w:rsid w:val="003F34FF"/>
    <w:rsid w:val="003F3E93"/>
    <w:rsid w:val="004018F0"/>
    <w:rsid w:val="00402945"/>
    <w:rsid w:val="00404834"/>
    <w:rsid w:val="00407F0D"/>
    <w:rsid w:val="00415940"/>
    <w:rsid w:val="0041769F"/>
    <w:rsid w:val="00417922"/>
    <w:rsid w:val="00417F90"/>
    <w:rsid w:val="00420F20"/>
    <w:rsid w:val="004228A4"/>
    <w:rsid w:val="00423DD2"/>
    <w:rsid w:val="00427BC0"/>
    <w:rsid w:val="00427D56"/>
    <w:rsid w:val="00433472"/>
    <w:rsid w:val="00434EF3"/>
    <w:rsid w:val="00435DB9"/>
    <w:rsid w:val="0043642D"/>
    <w:rsid w:val="00442DF4"/>
    <w:rsid w:val="00444F2A"/>
    <w:rsid w:val="00451B64"/>
    <w:rsid w:val="00456704"/>
    <w:rsid w:val="0046373F"/>
    <w:rsid w:val="00471AFF"/>
    <w:rsid w:val="00474770"/>
    <w:rsid w:val="00476240"/>
    <w:rsid w:val="00476C51"/>
    <w:rsid w:val="00480732"/>
    <w:rsid w:val="0048248B"/>
    <w:rsid w:val="00485764"/>
    <w:rsid w:val="00496615"/>
    <w:rsid w:val="00497234"/>
    <w:rsid w:val="004A4921"/>
    <w:rsid w:val="004A69DF"/>
    <w:rsid w:val="004B33D4"/>
    <w:rsid w:val="004B402F"/>
    <w:rsid w:val="004B48DE"/>
    <w:rsid w:val="004C45E1"/>
    <w:rsid w:val="004D3270"/>
    <w:rsid w:val="004D4532"/>
    <w:rsid w:val="004E2028"/>
    <w:rsid w:val="004F0090"/>
    <w:rsid w:val="004F06DD"/>
    <w:rsid w:val="004F0E31"/>
    <w:rsid w:val="0050040F"/>
    <w:rsid w:val="0050607C"/>
    <w:rsid w:val="005061FD"/>
    <w:rsid w:val="00515F35"/>
    <w:rsid w:val="00520038"/>
    <w:rsid w:val="0052288E"/>
    <w:rsid w:val="00524173"/>
    <w:rsid w:val="005324D6"/>
    <w:rsid w:val="00533D31"/>
    <w:rsid w:val="00536583"/>
    <w:rsid w:val="00536A5E"/>
    <w:rsid w:val="00537CE9"/>
    <w:rsid w:val="00540537"/>
    <w:rsid w:val="0054132D"/>
    <w:rsid w:val="005549CF"/>
    <w:rsid w:val="00564A9D"/>
    <w:rsid w:val="00565284"/>
    <w:rsid w:val="0056754D"/>
    <w:rsid w:val="00572ACC"/>
    <w:rsid w:val="005745A6"/>
    <w:rsid w:val="005808B5"/>
    <w:rsid w:val="0058548C"/>
    <w:rsid w:val="00592699"/>
    <w:rsid w:val="00597587"/>
    <w:rsid w:val="00597C0B"/>
    <w:rsid w:val="005A2BED"/>
    <w:rsid w:val="005A657D"/>
    <w:rsid w:val="005A737B"/>
    <w:rsid w:val="005A7D8C"/>
    <w:rsid w:val="005B6C06"/>
    <w:rsid w:val="005C4660"/>
    <w:rsid w:val="005D18FC"/>
    <w:rsid w:val="005D3765"/>
    <w:rsid w:val="005D58CA"/>
    <w:rsid w:val="005E02E5"/>
    <w:rsid w:val="005E1CA0"/>
    <w:rsid w:val="005F6CDF"/>
    <w:rsid w:val="0060109B"/>
    <w:rsid w:val="006041D3"/>
    <w:rsid w:val="00610669"/>
    <w:rsid w:val="0061681E"/>
    <w:rsid w:val="00636D46"/>
    <w:rsid w:val="006371D4"/>
    <w:rsid w:val="006404F6"/>
    <w:rsid w:val="00652C44"/>
    <w:rsid w:val="006540EF"/>
    <w:rsid w:val="0065458E"/>
    <w:rsid w:val="0065528B"/>
    <w:rsid w:val="00657E8F"/>
    <w:rsid w:val="00667644"/>
    <w:rsid w:val="006717EA"/>
    <w:rsid w:val="006738F3"/>
    <w:rsid w:val="006775BD"/>
    <w:rsid w:val="0068258B"/>
    <w:rsid w:val="00683797"/>
    <w:rsid w:val="00685D7D"/>
    <w:rsid w:val="00691CA5"/>
    <w:rsid w:val="00693FF5"/>
    <w:rsid w:val="00694B03"/>
    <w:rsid w:val="0069559B"/>
    <w:rsid w:val="00695D73"/>
    <w:rsid w:val="006A498B"/>
    <w:rsid w:val="006A5C89"/>
    <w:rsid w:val="006A5D3C"/>
    <w:rsid w:val="006C1C41"/>
    <w:rsid w:val="006C2A88"/>
    <w:rsid w:val="006C3D72"/>
    <w:rsid w:val="006D017F"/>
    <w:rsid w:val="006D11F5"/>
    <w:rsid w:val="006E1BC2"/>
    <w:rsid w:val="006E2AC2"/>
    <w:rsid w:val="00701057"/>
    <w:rsid w:val="00705579"/>
    <w:rsid w:val="00705C66"/>
    <w:rsid w:val="007065B1"/>
    <w:rsid w:val="00714C50"/>
    <w:rsid w:val="007201DE"/>
    <w:rsid w:val="0072169C"/>
    <w:rsid w:val="00725B6F"/>
    <w:rsid w:val="00725BE2"/>
    <w:rsid w:val="007334B6"/>
    <w:rsid w:val="00737784"/>
    <w:rsid w:val="007407EE"/>
    <w:rsid w:val="007432FB"/>
    <w:rsid w:val="007479E5"/>
    <w:rsid w:val="00752DA1"/>
    <w:rsid w:val="007565E2"/>
    <w:rsid w:val="0075752A"/>
    <w:rsid w:val="00762402"/>
    <w:rsid w:val="0076496D"/>
    <w:rsid w:val="007725F7"/>
    <w:rsid w:val="00782271"/>
    <w:rsid w:val="00793348"/>
    <w:rsid w:val="00793615"/>
    <w:rsid w:val="007A3B56"/>
    <w:rsid w:val="007B19B8"/>
    <w:rsid w:val="007B71CB"/>
    <w:rsid w:val="007C0D40"/>
    <w:rsid w:val="007C3F8C"/>
    <w:rsid w:val="007C59BC"/>
    <w:rsid w:val="007C7E13"/>
    <w:rsid w:val="007D691F"/>
    <w:rsid w:val="007D6D1A"/>
    <w:rsid w:val="007F18BD"/>
    <w:rsid w:val="007F1D3F"/>
    <w:rsid w:val="00802C03"/>
    <w:rsid w:val="00803100"/>
    <w:rsid w:val="00804179"/>
    <w:rsid w:val="00804611"/>
    <w:rsid w:val="00805648"/>
    <w:rsid w:val="00806402"/>
    <w:rsid w:val="00811F24"/>
    <w:rsid w:val="00815AAC"/>
    <w:rsid w:val="00815EEA"/>
    <w:rsid w:val="0081626C"/>
    <w:rsid w:val="0082427B"/>
    <w:rsid w:val="00827F43"/>
    <w:rsid w:val="00836779"/>
    <w:rsid w:val="008435E5"/>
    <w:rsid w:val="00853374"/>
    <w:rsid w:val="008544B6"/>
    <w:rsid w:val="00857FB5"/>
    <w:rsid w:val="00862B7F"/>
    <w:rsid w:val="008679FA"/>
    <w:rsid w:val="00876439"/>
    <w:rsid w:val="008774F5"/>
    <w:rsid w:val="00880DB2"/>
    <w:rsid w:val="0088138B"/>
    <w:rsid w:val="00886015"/>
    <w:rsid w:val="00894D8C"/>
    <w:rsid w:val="008A2A31"/>
    <w:rsid w:val="008A4354"/>
    <w:rsid w:val="008B0D06"/>
    <w:rsid w:val="008B0F82"/>
    <w:rsid w:val="008B4753"/>
    <w:rsid w:val="008B6D48"/>
    <w:rsid w:val="008D3184"/>
    <w:rsid w:val="008D68C6"/>
    <w:rsid w:val="008D77AF"/>
    <w:rsid w:val="008D78B1"/>
    <w:rsid w:val="008E0BC1"/>
    <w:rsid w:val="008F28D2"/>
    <w:rsid w:val="008F646E"/>
    <w:rsid w:val="008F65C7"/>
    <w:rsid w:val="008F67B3"/>
    <w:rsid w:val="00903270"/>
    <w:rsid w:val="0090545F"/>
    <w:rsid w:val="009070FF"/>
    <w:rsid w:val="0091004C"/>
    <w:rsid w:val="00911570"/>
    <w:rsid w:val="00914771"/>
    <w:rsid w:val="00915B11"/>
    <w:rsid w:val="00917943"/>
    <w:rsid w:val="009205C9"/>
    <w:rsid w:val="00921B9B"/>
    <w:rsid w:val="009221D6"/>
    <w:rsid w:val="009222CF"/>
    <w:rsid w:val="009301A1"/>
    <w:rsid w:val="00932048"/>
    <w:rsid w:val="009407D1"/>
    <w:rsid w:val="009433BA"/>
    <w:rsid w:val="00944F9A"/>
    <w:rsid w:val="009466E6"/>
    <w:rsid w:val="0095380E"/>
    <w:rsid w:val="009601E7"/>
    <w:rsid w:val="00960B4F"/>
    <w:rsid w:val="00960D09"/>
    <w:rsid w:val="00963411"/>
    <w:rsid w:val="0096655F"/>
    <w:rsid w:val="009672E5"/>
    <w:rsid w:val="00977723"/>
    <w:rsid w:val="00981094"/>
    <w:rsid w:val="009902F2"/>
    <w:rsid w:val="00995053"/>
    <w:rsid w:val="009A7537"/>
    <w:rsid w:val="009C2D61"/>
    <w:rsid w:val="009C3004"/>
    <w:rsid w:val="009E2AF6"/>
    <w:rsid w:val="009E56A1"/>
    <w:rsid w:val="009F0CAF"/>
    <w:rsid w:val="009F0FBC"/>
    <w:rsid w:val="009F47B2"/>
    <w:rsid w:val="00A01BF8"/>
    <w:rsid w:val="00A02403"/>
    <w:rsid w:val="00A14F4E"/>
    <w:rsid w:val="00A1646C"/>
    <w:rsid w:val="00A208C9"/>
    <w:rsid w:val="00A24BAB"/>
    <w:rsid w:val="00A33D3B"/>
    <w:rsid w:val="00A35E29"/>
    <w:rsid w:val="00A3630A"/>
    <w:rsid w:val="00A4005A"/>
    <w:rsid w:val="00A477D1"/>
    <w:rsid w:val="00A47CD8"/>
    <w:rsid w:val="00A6089D"/>
    <w:rsid w:val="00A62D86"/>
    <w:rsid w:val="00A67CED"/>
    <w:rsid w:val="00A71F9B"/>
    <w:rsid w:val="00A75407"/>
    <w:rsid w:val="00A758CE"/>
    <w:rsid w:val="00A86172"/>
    <w:rsid w:val="00A87767"/>
    <w:rsid w:val="00A92405"/>
    <w:rsid w:val="00A92CD2"/>
    <w:rsid w:val="00AA3E75"/>
    <w:rsid w:val="00AA6743"/>
    <w:rsid w:val="00AB2C47"/>
    <w:rsid w:val="00AB50BA"/>
    <w:rsid w:val="00AC0249"/>
    <w:rsid w:val="00AC045F"/>
    <w:rsid w:val="00AC51C0"/>
    <w:rsid w:val="00AC577E"/>
    <w:rsid w:val="00AE0CEC"/>
    <w:rsid w:val="00AE1AF4"/>
    <w:rsid w:val="00AF0872"/>
    <w:rsid w:val="00AF7482"/>
    <w:rsid w:val="00B13523"/>
    <w:rsid w:val="00B143DF"/>
    <w:rsid w:val="00B14DC0"/>
    <w:rsid w:val="00B15EE8"/>
    <w:rsid w:val="00B15F0F"/>
    <w:rsid w:val="00B23B2F"/>
    <w:rsid w:val="00B25A68"/>
    <w:rsid w:val="00B32D7D"/>
    <w:rsid w:val="00B361FE"/>
    <w:rsid w:val="00B441EF"/>
    <w:rsid w:val="00B46FA2"/>
    <w:rsid w:val="00B50F76"/>
    <w:rsid w:val="00B52639"/>
    <w:rsid w:val="00B54F91"/>
    <w:rsid w:val="00B605EB"/>
    <w:rsid w:val="00B73E0E"/>
    <w:rsid w:val="00B74806"/>
    <w:rsid w:val="00B814EF"/>
    <w:rsid w:val="00B8157C"/>
    <w:rsid w:val="00B9077B"/>
    <w:rsid w:val="00B93288"/>
    <w:rsid w:val="00BA426F"/>
    <w:rsid w:val="00BA5C48"/>
    <w:rsid w:val="00BA7EC0"/>
    <w:rsid w:val="00BB62B8"/>
    <w:rsid w:val="00BB6E6C"/>
    <w:rsid w:val="00BC49C5"/>
    <w:rsid w:val="00BC5769"/>
    <w:rsid w:val="00BD0A8C"/>
    <w:rsid w:val="00BD2CB3"/>
    <w:rsid w:val="00BD32E6"/>
    <w:rsid w:val="00BD3350"/>
    <w:rsid w:val="00BE0681"/>
    <w:rsid w:val="00BE1B09"/>
    <w:rsid w:val="00BE2E31"/>
    <w:rsid w:val="00BE3CA6"/>
    <w:rsid w:val="00BE74CA"/>
    <w:rsid w:val="00BF4CE6"/>
    <w:rsid w:val="00C010C0"/>
    <w:rsid w:val="00C040C1"/>
    <w:rsid w:val="00C04BDF"/>
    <w:rsid w:val="00C12523"/>
    <w:rsid w:val="00C15CCF"/>
    <w:rsid w:val="00C20BF7"/>
    <w:rsid w:val="00C211C7"/>
    <w:rsid w:val="00C2123D"/>
    <w:rsid w:val="00C27617"/>
    <w:rsid w:val="00C33304"/>
    <w:rsid w:val="00C3665E"/>
    <w:rsid w:val="00C3733F"/>
    <w:rsid w:val="00C63D40"/>
    <w:rsid w:val="00C82827"/>
    <w:rsid w:val="00C95071"/>
    <w:rsid w:val="00C95F95"/>
    <w:rsid w:val="00CA1B8E"/>
    <w:rsid w:val="00CA1BCC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C3D5E"/>
    <w:rsid w:val="00CD3E97"/>
    <w:rsid w:val="00CE7081"/>
    <w:rsid w:val="00D0041C"/>
    <w:rsid w:val="00D03331"/>
    <w:rsid w:val="00D06D13"/>
    <w:rsid w:val="00D13A3D"/>
    <w:rsid w:val="00D176F1"/>
    <w:rsid w:val="00D20846"/>
    <w:rsid w:val="00D302D6"/>
    <w:rsid w:val="00D345C3"/>
    <w:rsid w:val="00D3610C"/>
    <w:rsid w:val="00D414DD"/>
    <w:rsid w:val="00D43817"/>
    <w:rsid w:val="00D43CE1"/>
    <w:rsid w:val="00D52124"/>
    <w:rsid w:val="00D55667"/>
    <w:rsid w:val="00D572DF"/>
    <w:rsid w:val="00D600C9"/>
    <w:rsid w:val="00D67A5A"/>
    <w:rsid w:val="00D72776"/>
    <w:rsid w:val="00D72B7C"/>
    <w:rsid w:val="00D83014"/>
    <w:rsid w:val="00D84548"/>
    <w:rsid w:val="00D84969"/>
    <w:rsid w:val="00D9505A"/>
    <w:rsid w:val="00D959D1"/>
    <w:rsid w:val="00DA3F47"/>
    <w:rsid w:val="00DA78A9"/>
    <w:rsid w:val="00DB5C1C"/>
    <w:rsid w:val="00DB6C81"/>
    <w:rsid w:val="00DC0171"/>
    <w:rsid w:val="00DC1CBF"/>
    <w:rsid w:val="00DC75CD"/>
    <w:rsid w:val="00DD7AB7"/>
    <w:rsid w:val="00DE339D"/>
    <w:rsid w:val="00DF173B"/>
    <w:rsid w:val="00DF3849"/>
    <w:rsid w:val="00DF58EA"/>
    <w:rsid w:val="00E00760"/>
    <w:rsid w:val="00E02599"/>
    <w:rsid w:val="00E07951"/>
    <w:rsid w:val="00E10E9B"/>
    <w:rsid w:val="00E1398C"/>
    <w:rsid w:val="00E2259B"/>
    <w:rsid w:val="00E234FC"/>
    <w:rsid w:val="00E23FE9"/>
    <w:rsid w:val="00E411D2"/>
    <w:rsid w:val="00E41489"/>
    <w:rsid w:val="00E42AB9"/>
    <w:rsid w:val="00E46D88"/>
    <w:rsid w:val="00E47706"/>
    <w:rsid w:val="00E47C19"/>
    <w:rsid w:val="00E52857"/>
    <w:rsid w:val="00E52D4B"/>
    <w:rsid w:val="00E542A8"/>
    <w:rsid w:val="00E648E5"/>
    <w:rsid w:val="00E6646C"/>
    <w:rsid w:val="00E71F4D"/>
    <w:rsid w:val="00E757D3"/>
    <w:rsid w:val="00E75B0A"/>
    <w:rsid w:val="00E77A72"/>
    <w:rsid w:val="00E77C37"/>
    <w:rsid w:val="00E938CC"/>
    <w:rsid w:val="00EA00CC"/>
    <w:rsid w:val="00EA3D79"/>
    <w:rsid w:val="00EA718A"/>
    <w:rsid w:val="00EB195E"/>
    <w:rsid w:val="00EB25DD"/>
    <w:rsid w:val="00EB2D91"/>
    <w:rsid w:val="00EC25FA"/>
    <w:rsid w:val="00EC4D6E"/>
    <w:rsid w:val="00EC551E"/>
    <w:rsid w:val="00EC56B1"/>
    <w:rsid w:val="00EC7850"/>
    <w:rsid w:val="00ED3DBC"/>
    <w:rsid w:val="00EE0AE1"/>
    <w:rsid w:val="00EE30BA"/>
    <w:rsid w:val="00EE3543"/>
    <w:rsid w:val="00EE4CE3"/>
    <w:rsid w:val="00EF3501"/>
    <w:rsid w:val="00F00520"/>
    <w:rsid w:val="00F00A5C"/>
    <w:rsid w:val="00F02A22"/>
    <w:rsid w:val="00F03ABE"/>
    <w:rsid w:val="00F061A0"/>
    <w:rsid w:val="00F17216"/>
    <w:rsid w:val="00F206CE"/>
    <w:rsid w:val="00F21E88"/>
    <w:rsid w:val="00F220E1"/>
    <w:rsid w:val="00F3274E"/>
    <w:rsid w:val="00F40342"/>
    <w:rsid w:val="00F43619"/>
    <w:rsid w:val="00F47395"/>
    <w:rsid w:val="00F53163"/>
    <w:rsid w:val="00F54B94"/>
    <w:rsid w:val="00F54FC3"/>
    <w:rsid w:val="00F6088C"/>
    <w:rsid w:val="00F6114C"/>
    <w:rsid w:val="00F63892"/>
    <w:rsid w:val="00F727F5"/>
    <w:rsid w:val="00F76129"/>
    <w:rsid w:val="00F81385"/>
    <w:rsid w:val="00F83833"/>
    <w:rsid w:val="00F905F4"/>
    <w:rsid w:val="00F93256"/>
    <w:rsid w:val="00F93610"/>
    <w:rsid w:val="00FA2364"/>
    <w:rsid w:val="00FA3469"/>
    <w:rsid w:val="00FA4A30"/>
    <w:rsid w:val="00FA4F98"/>
    <w:rsid w:val="00FC264B"/>
    <w:rsid w:val="00FC6D3D"/>
    <w:rsid w:val="00FD36E8"/>
    <w:rsid w:val="00FE1925"/>
    <w:rsid w:val="00FF1FF2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CE91DD-354D-4EC0-AA79-6ED903FC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55CD2-D82B-40EF-BF63-D2B472077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10317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Iva Pushkarova</cp:lastModifiedBy>
  <cp:revision>10</cp:revision>
  <cp:lastPrinted>2015-04-01T09:13:00Z</cp:lastPrinted>
  <dcterms:created xsi:type="dcterms:W3CDTF">2015-03-30T08:04:00Z</dcterms:created>
  <dcterms:modified xsi:type="dcterms:W3CDTF">2015-04-01T09:42:00Z</dcterms:modified>
</cp:coreProperties>
</file>