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23" w:rsidRDefault="00AA6743" w:rsidP="000B4FD2">
      <w:r>
        <w:rPr>
          <w:noProof/>
        </w:rPr>
        <w:drawing>
          <wp:anchor distT="0" distB="0" distL="114300" distR="114300" simplePos="0" relativeHeight="251653120" behindDoc="0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-41910</wp:posOffset>
            </wp:positionV>
            <wp:extent cx="1798320" cy="1532255"/>
            <wp:effectExtent l="19050" t="0" r="0" b="0"/>
            <wp:wrapTopAndBottom/>
            <wp:docPr id="2" name="Picture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7" w:rightFromText="187" w:horzAnchor="margin" w:tblpXSpec="right" w:tblpYSpec="top"/>
        <w:tblW w:w="2000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0A0" w:firstRow="1" w:lastRow="0" w:firstColumn="1" w:lastColumn="0" w:noHBand="0" w:noVBand="0"/>
      </w:tblPr>
      <w:tblGrid>
        <w:gridCol w:w="4939"/>
      </w:tblGrid>
      <w:tr w:rsidR="00C12523">
        <w:tc>
          <w:tcPr>
            <w:tcW w:w="0" w:type="auto"/>
          </w:tcPr>
          <w:p w:rsidR="00C12523" w:rsidRPr="00E411D2" w:rsidRDefault="00F00520" w:rsidP="000B4FD2">
            <w:pPr>
              <w:pStyle w:val="NoSpacing"/>
              <w:rPr>
                <w:rFonts w:ascii="Cambria" w:hAnsi="Cambria"/>
                <w:b/>
                <w:sz w:val="72"/>
                <w:szCs w:val="72"/>
              </w:rPr>
            </w:pPr>
            <w:r>
              <w:rPr>
                <w:rFonts w:ascii="Cambria" w:hAnsi="Cambria"/>
                <w:b/>
                <w:sz w:val="72"/>
                <w:szCs w:val="72"/>
                <w:lang w:val="bg-BG"/>
              </w:rPr>
              <w:t>ТРИ</w:t>
            </w:r>
            <w:r w:rsidR="00921B9B">
              <w:rPr>
                <w:rFonts w:ascii="Cambria" w:hAnsi="Cambria"/>
                <w:b/>
                <w:sz w:val="72"/>
                <w:szCs w:val="72"/>
                <w:lang w:val="bg-BG"/>
              </w:rPr>
              <w:t>МЕСЕЧЕН</w:t>
            </w:r>
            <w:r>
              <w:rPr>
                <w:rFonts w:ascii="Cambria" w:hAnsi="Cambria"/>
                <w:b/>
                <w:sz w:val="72"/>
                <w:szCs w:val="72"/>
                <w:lang w:val="bg-BG"/>
              </w:rPr>
              <w:t xml:space="preserve"> ОТЧЕТ</w:t>
            </w:r>
            <w:r w:rsidR="00C12523" w:rsidRPr="00E411D2">
              <w:rPr>
                <w:rFonts w:ascii="Cambria" w:hAnsi="Cambria"/>
                <w:b/>
                <w:sz w:val="72"/>
                <w:szCs w:val="72"/>
                <w:lang w:val="bg-BG"/>
              </w:rPr>
              <w:t xml:space="preserve"> </w:t>
            </w:r>
          </w:p>
        </w:tc>
      </w:tr>
      <w:tr w:rsidR="00C12523">
        <w:tc>
          <w:tcPr>
            <w:tcW w:w="0" w:type="auto"/>
          </w:tcPr>
          <w:p w:rsidR="00C12523" w:rsidRPr="00E411D2" w:rsidRDefault="00C12523" w:rsidP="000B4FD2">
            <w:pPr>
              <w:pStyle w:val="NoSpacing"/>
              <w:rPr>
                <w:b/>
                <w:sz w:val="40"/>
                <w:szCs w:val="40"/>
              </w:rPr>
            </w:pPr>
            <w:r w:rsidRPr="00E411D2">
              <w:rPr>
                <w:b/>
                <w:sz w:val="40"/>
                <w:szCs w:val="40"/>
                <w:lang w:val="bg-BG"/>
              </w:rPr>
              <w:t>НА КОМИСИЯТА ПО ПОМИЛВАНЕТО</w:t>
            </w:r>
          </w:p>
        </w:tc>
      </w:tr>
      <w:tr w:rsidR="00C12523">
        <w:tc>
          <w:tcPr>
            <w:tcW w:w="0" w:type="auto"/>
          </w:tcPr>
          <w:p w:rsidR="00C12523" w:rsidRPr="00E411D2" w:rsidRDefault="00705C66" w:rsidP="00F64B83">
            <w:pPr>
              <w:pStyle w:val="NoSpacing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g-BG"/>
              </w:rPr>
              <w:t>01</w:t>
            </w:r>
            <w:r w:rsidR="002F23FE">
              <w:rPr>
                <w:b/>
                <w:sz w:val="28"/>
                <w:szCs w:val="28"/>
                <w:lang w:val="bg-BG"/>
              </w:rPr>
              <w:t xml:space="preserve"> </w:t>
            </w:r>
            <w:r w:rsidR="00F64B83">
              <w:rPr>
                <w:b/>
                <w:sz w:val="28"/>
                <w:szCs w:val="28"/>
                <w:lang w:val="bg-BG"/>
              </w:rPr>
              <w:t>април</w:t>
            </w:r>
            <w:r w:rsidR="002F23FE">
              <w:rPr>
                <w:b/>
                <w:sz w:val="28"/>
                <w:szCs w:val="28"/>
                <w:lang w:val="bg-BG"/>
              </w:rPr>
              <w:t xml:space="preserve"> –</w:t>
            </w:r>
            <w:r w:rsidR="00921B9B">
              <w:rPr>
                <w:b/>
                <w:sz w:val="28"/>
                <w:szCs w:val="28"/>
                <w:lang w:val="bg-BG"/>
              </w:rPr>
              <w:t xml:space="preserve"> 31</w:t>
            </w:r>
            <w:r w:rsidR="00DC1CBF">
              <w:rPr>
                <w:b/>
                <w:sz w:val="28"/>
                <w:szCs w:val="28"/>
                <w:lang w:val="bg-BG"/>
              </w:rPr>
              <w:t xml:space="preserve"> </w:t>
            </w:r>
            <w:r w:rsidR="00F64B83">
              <w:rPr>
                <w:b/>
                <w:sz w:val="28"/>
                <w:szCs w:val="28"/>
                <w:lang w:val="bg-BG"/>
              </w:rPr>
              <w:t>юни</w:t>
            </w:r>
            <w:r w:rsidR="002F23FE">
              <w:rPr>
                <w:b/>
                <w:sz w:val="28"/>
                <w:szCs w:val="28"/>
                <w:lang w:val="bg-BG"/>
              </w:rPr>
              <w:t xml:space="preserve"> 201</w:t>
            </w:r>
            <w:r w:rsidR="008A2A31">
              <w:rPr>
                <w:b/>
                <w:sz w:val="28"/>
                <w:szCs w:val="28"/>
                <w:lang w:val="bg-BG"/>
              </w:rPr>
              <w:t>5</w:t>
            </w:r>
            <w:r w:rsidR="002F23FE">
              <w:rPr>
                <w:b/>
                <w:sz w:val="28"/>
                <w:szCs w:val="28"/>
                <w:lang w:val="bg-BG"/>
              </w:rPr>
              <w:t xml:space="preserve"> г.</w:t>
            </w:r>
          </w:p>
        </w:tc>
      </w:tr>
    </w:tbl>
    <w:p w:rsidR="00C12523" w:rsidRPr="005808B5" w:rsidRDefault="00C12523" w:rsidP="000B4FD2">
      <w:pPr>
        <w:rPr>
          <w:rFonts w:ascii="Calibri" w:hAnsi="Calibri" w:cs="Calibri"/>
          <w:sz w:val="26"/>
          <w:szCs w:val="26"/>
        </w:rPr>
      </w:pPr>
      <w:r w:rsidRPr="005808B5">
        <w:rPr>
          <w:rFonts w:ascii="Calibri" w:hAnsi="Calibri" w:cs="Calibri"/>
          <w:sz w:val="26"/>
          <w:szCs w:val="26"/>
        </w:rPr>
        <w:t>Администрация на Президента</w:t>
      </w: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Pr="001F67EB" w:rsidRDefault="001F67EB" w:rsidP="001F67EB">
      <w:pPr>
        <w:ind w:left="708" w:firstLine="708"/>
        <w:rPr>
          <w:b/>
          <w:sz w:val="26"/>
          <w:szCs w:val="26"/>
        </w:rPr>
      </w:pPr>
      <w:r w:rsidRPr="001F67EB">
        <w:rPr>
          <w:b/>
          <w:sz w:val="26"/>
          <w:szCs w:val="26"/>
        </w:rPr>
        <w:t>СЪДЪРЖАНИЕ:</w:t>
      </w:r>
    </w:p>
    <w:p w:rsidR="001F67EB" w:rsidRDefault="001F67EB" w:rsidP="001F67EB">
      <w:pPr>
        <w:pStyle w:val="ListParagraph"/>
        <w:ind w:left="1776"/>
        <w:rPr>
          <w:sz w:val="26"/>
          <w:szCs w:val="26"/>
        </w:rPr>
      </w:pPr>
    </w:p>
    <w:p w:rsidR="00921B9B" w:rsidRDefault="001F67EB" w:rsidP="00921B9B">
      <w:pPr>
        <w:pStyle w:val="ListParagraph"/>
        <w:numPr>
          <w:ilvl w:val="0"/>
          <w:numId w:val="25"/>
        </w:numPr>
        <w:rPr>
          <w:sz w:val="26"/>
          <w:szCs w:val="26"/>
        </w:rPr>
      </w:pPr>
      <w:r>
        <w:rPr>
          <w:sz w:val="26"/>
          <w:szCs w:val="26"/>
        </w:rPr>
        <w:t>Дейност по разглеждане на молби за помилване</w:t>
      </w:r>
      <w:r w:rsidR="00921B9B" w:rsidRPr="00921B9B">
        <w:rPr>
          <w:sz w:val="26"/>
          <w:szCs w:val="26"/>
        </w:rPr>
        <w:t xml:space="preserve"> </w:t>
      </w:r>
      <w:r w:rsidR="00921B9B">
        <w:rPr>
          <w:sz w:val="26"/>
          <w:szCs w:val="26"/>
        </w:rPr>
        <w:t>и статистически данни</w:t>
      </w:r>
    </w:p>
    <w:p w:rsidR="001F67EB" w:rsidRPr="001F67EB" w:rsidRDefault="000D0A17" w:rsidP="001F67EB">
      <w:pPr>
        <w:pStyle w:val="ListParagraph"/>
        <w:numPr>
          <w:ilvl w:val="0"/>
          <w:numId w:val="25"/>
        </w:numPr>
        <w:rPr>
          <w:sz w:val="26"/>
          <w:szCs w:val="26"/>
        </w:rPr>
      </w:pPr>
      <w:r>
        <w:rPr>
          <w:sz w:val="26"/>
          <w:szCs w:val="26"/>
        </w:rPr>
        <w:t>Допълнителни</w:t>
      </w:r>
      <w:r w:rsidR="001F67EB">
        <w:rPr>
          <w:sz w:val="26"/>
          <w:szCs w:val="26"/>
        </w:rPr>
        <w:t xml:space="preserve"> дейности и стажантско обучение</w:t>
      </w: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960B4F">
      <w:pPr>
        <w:ind w:left="851"/>
        <w:jc w:val="center"/>
        <w:rPr>
          <w:sz w:val="26"/>
          <w:szCs w:val="26"/>
        </w:rPr>
      </w:pPr>
    </w:p>
    <w:p w:rsidR="00C12523" w:rsidRDefault="00C12523" w:rsidP="00960B4F">
      <w:pPr>
        <w:ind w:left="851"/>
        <w:jc w:val="center"/>
        <w:rPr>
          <w:sz w:val="26"/>
          <w:szCs w:val="26"/>
        </w:rPr>
      </w:pPr>
    </w:p>
    <w:p w:rsidR="00C12523" w:rsidRPr="00F54FC3" w:rsidRDefault="00C12523" w:rsidP="00960B4F">
      <w:pPr>
        <w:ind w:left="851"/>
        <w:rPr>
          <w:rFonts w:ascii="Calibri" w:hAnsi="Calibri" w:cs="Calibri"/>
          <w:sz w:val="26"/>
          <w:szCs w:val="26"/>
        </w:rPr>
      </w:pPr>
      <w:r w:rsidRPr="00F54FC3">
        <w:rPr>
          <w:rFonts w:ascii="Calibri" w:hAnsi="Calibri" w:cs="Calibri"/>
          <w:sz w:val="26"/>
          <w:szCs w:val="26"/>
        </w:rPr>
        <w:tab/>
      </w: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</w:rPr>
      </w:pPr>
    </w:p>
    <w:p w:rsidR="00C12523" w:rsidRDefault="00C12523" w:rsidP="000B4FD2">
      <w:pPr>
        <w:jc w:val="center"/>
        <w:rPr>
          <w:sz w:val="26"/>
          <w:szCs w:val="26"/>
          <w:lang w:val="en-GB"/>
        </w:rPr>
      </w:pPr>
    </w:p>
    <w:p w:rsidR="001E7C52" w:rsidRDefault="001E7C52" w:rsidP="000B4FD2">
      <w:pPr>
        <w:jc w:val="center"/>
        <w:rPr>
          <w:sz w:val="26"/>
          <w:szCs w:val="26"/>
          <w:lang w:val="en-GB"/>
        </w:rPr>
      </w:pPr>
    </w:p>
    <w:p w:rsidR="001E7C52" w:rsidRDefault="001E7C52" w:rsidP="000B4FD2">
      <w:pPr>
        <w:jc w:val="center"/>
        <w:rPr>
          <w:sz w:val="26"/>
          <w:szCs w:val="26"/>
          <w:lang w:val="en-GB"/>
        </w:rPr>
      </w:pPr>
    </w:p>
    <w:p w:rsidR="001E7C52" w:rsidRDefault="001E7C52" w:rsidP="000B4FD2">
      <w:pPr>
        <w:jc w:val="center"/>
        <w:rPr>
          <w:sz w:val="26"/>
          <w:szCs w:val="26"/>
          <w:lang w:val="en-GB"/>
        </w:rPr>
      </w:pPr>
    </w:p>
    <w:p w:rsidR="001E7C52" w:rsidRDefault="001E7C52" w:rsidP="000B4FD2">
      <w:pPr>
        <w:jc w:val="center"/>
        <w:rPr>
          <w:sz w:val="26"/>
          <w:szCs w:val="26"/>
          <w:lang w:val="en-GB"/>
        </w:rPr>
      </w:pPr>
    </w:p>
    <w:p w:rsidR="00C12523" w:rsidRDefault="00C12523" w:rsidP="000B4FD2">
      <w:pPr>
        <w:jc w:val="center"/>
        <w:rPr>
          <w:rFonts w:ascii="Calibri" w:hAnsi="Calibri" w:cs="Calibri"/>
          <w:sz w:val="20"/>
          <w:szCs w:val="20"/>
        </w:rPr>
      </w:pPr>
      <w:r w:rsidRPr="00AA3E75">
        <w:rPr>
          <w:rFonts w:ascii="Calibri" w:hAnsi="Calibri" w:cs="Calibri"/>
          <w:sz w:val="20"/>
          <w:szCs w:val="20"/>
        </w:rPr>
        <w:t xml:space="preserve">На основание чл. 7(4) от Правилата за работа на Комисията по помилването (ПРКП), </w:t>
      </w:r>
    </w:p>
    <w:p w:rsidR="00C12523" w:rsidRPr="00AA3E75" w:rsidRDefault="00C12523" w:rsidP="000B4FD2">
      <w:pPr>
        <w:jc w:val="center"/>
        <w:rPr>
          <w:rFonts w:ascii="Calibri" w:hAnsi="Calibri" w:cs="Calibri"/>
          <w:sz w:val="20"/>
          <w:szCs w:val="20"/>
        </w:rPr>
      </w:pPr>
      <w:r w:rsidRPr="00AA3E75">
        <w:rPr>
          <w:rFonts w:ascii="Calibri" w:hAnsi="Calibri" w:cs="Calibri"/>
          <w:sz w:val="20"/>
          <w:szCs w:val="20"/>
        </w:rPr>
        <w:t xml:space="preserve">утвърдени с Указ № 80/23.02.2012 г. </w:t>
      </w:r>
      <w:r w:rsidR="00166B10">
        <w:rPr>
          <w:rFonts w:ascii="Calibri" w:hAnsi="Calibri" w:cs="Calibri"/>
          <w:sz w:val="20"/>
          <w:szCs w:val="20"/>
        </w:rPr>
        <w:t xml:space="preserve">и изменени с Указ № 23/18.02.2014 г. </w:t>
      </w:r>
      <w:r w:rsidRPr="00AA3E75">
        <w:rPr>
          <w:rFonts w:ascii="Calibri" w:hAnsi="Calibri" w:cs="Calibri"/>
          <w:sz w:val="20"/>
          <w:szCs w:val="20"/>
        </w:rPr>
        <w:t>на Президента на Република България</w:t>
      </w:r>
    </w:p>
    <w:p w:rsidR="00C12523" w:rsidRDefault="001E7C52" w:rsidP="001E7C52">
      <w:pPr>
        <w:rPr>
          <w:b/>
          <w:sz w:val="10"/>
          <w:szCs w:val="10"/>
          <w:lang w:val="en-GB"/>
        </w:rPr>
      </w:pPr>
      <w:r w:rsidRPr="001A3BCF">
        <w:rPr>
          <w:b/>
          <w:sz w:val="10"/>
          <w:szCs w:val="10"/>
        </w:rPr>
        <w:t xml:space="preserve"> </w:t>
      </w:r>
    </w:p>
    <w:p w:rsidR="009222CF" w:rsidRPr="008A2A31" w:rsidRDefault="009222CF" w:rsidP="001F67EB">
      <w:pPr>
        <w:ind w:firstLine="709"/>
        <w:jc w:val="both"/>
        <w:rPr>
          <w:rFonts w:asciiTheme="majorHAnsi" w:hAnsiTheme="majorHAnsi"/>
          <w:sz w:val="22"/>
          <w:szCs w:val="22"/>
        </w:rPr>
      </w:pPr>
    </w:p>
    <w:p w:rsidR="00A86172" w:rsidRPr="009222CF" w:rsidRDefault="00A86172" w:rsidP="00A86172">
      <w:pPr>
        <w:pStyle w:val="ListParagraph"/>
        <w:numPr>
          <w:ilvl w:val="0"/>
          <w:numId w:val="26"/>
        </w:numPr>
        <w:jc w:val="center"/>
        <w:rPr>
          <w:rFonts w:asciiTheme="majorHAnsi" w:hAnsiTheme="majorHAnsi"/>
          <w:b/>
          <w:sz w:val="28"/>
          <w:szCs w:val="28"/>
        </w:rPr>
      </w:pPr>
      <w:r w:rsidRPr="009222CF">
        <w:rPr>
          <w:rFonts w:asciiTheme="majorHAnsi" w:hAnsiTheme="majorHAnsi"/>
          <w:b/>
          <w:sz w:val="28"/>
          <w:szCs w:val="28"/>
        </w:rPr>
        <w:t>ДЕЙНОСТ ПО РАЗГЛЕЖДАНЕ НА МОЛБИ ЗА ПОМИЛВАНЕ</w:t>
      </w:r>
    </w:p>
    <w:p w:rsidR="002A6283" w:rsidRDefault="002A6283" w:rsidP="002A6283">
      <w:pPr>
        <w:ind w:firstLine="708"/>
        <w:jc w:val="both"/>
        <w:rPr>
          <w:rFonts w:asciiTheme="majorHAnsi" w:hAnsiTheme="majorHAnsi"/>
        </w:rPr>
      </w:pPr>
    </w:p>
    <w:p w:rsidR="00A86172" w:rsidRPr="007565E2" w:rsidRDefault="002A6283" w:rsidP="007565E2"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Съгласно чл. 98, т. 11 от Конституцията правото на помилване принадлежи на държавата в лицето на президента / вицепрезидента. Молителите имат право да получат произнасяне на държавния глава по тяхна молба за помилване. За всяко решение на вицепрезидента Комисията уведомява молителя, освен в случай на помилване, когато се издава указ.</w:t>
      </w:r>
    </w:p>
    <w:tbl>
      <w:tblPr>
        <w:tblStyle w:val="TableGrid"/>
        <w:tblpPr w:leftFromText="141" w:rightFromText="141" w:vertAnchor="page" w:horzAnchor="margin" w:tblpY="3995"/>
        <w:tblW w:w="10910" w:type="dxa"/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567"/>
        <w:gridCol w:w="567"/>
        <w:gridCol w:w="851"/>
        <w:gridCol w:w="567"/>
        <w:gridCol w:w="396"/>
        <w:gridCol w:w="1276"/>
        <w:gridCol w:w="992"/>
        <w:gridCol w:w="851"/>
        <w:gridCol w:w="538"/>
        <w:gridCol w:w="454"/>
        <w:gridCol w:w="964"/>
        <w:gridCol w:w="624"/>
      </w:tblGrid>
      <w:tr w:rsidR="002A6283" w:rsidRPr="009222CF" w:rsidTr="002A6283">
        <w:tc>
          <w:tcPr>
            <w:tcW w:w="109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2A6283" w:rsidP="002A6283">
            <w:pPr>
              <w:ind w:left="-142" w:right="113" w:firstLine="142"/>
              <w:rPr>
                <w:rFonts w:asciiTheme="majorHAnsi" w:hAnsiTheme="majorHAnsi"/>
                <w:b/>
                <w:sz w:val="19"/>
                <w:szCs w:val="19"/>
              </w:rPr>
            </w:pPr>
            <w:r w:rsidRPr="009222CF">
              <w:rPr>
                <w:rFonts w:asciiTheme="majorHAnsi" w:hAnsiTheme="majorHAnsi"/>
                <w:b/>
                <w:sz w:val="19"/>
                <w:szCs w:val="19"/>
              </w:rPr>
              <w:t>Таблица 1: Обща справка за движението на молбите за помилване</w:t>
            </w:r>
          </w:p>
        </w:tc>
      </w:tr>
      <w:tr w:rsidR="002A6283" w:rsidRPr="009222CF" w:rsidTr="002A6283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83" w:rsidRPr="009222CF" w:rsidRDefault="002A6283" w:rsidP="002A6283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  <w:p w:rsidR="002A6283" w:rsidRPr="009222CF" w:rsidRDefault="002A6283" w:rsidP="002A6283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283" w:rsidRPr="009222CF" w:rsidRDefault="002A6283" w:rsidP="002A6283">
            <w:pPr>
              <w:ind w:left="113" w:right="113"/>
              <w:rPr>
                <w:rFonts w:asciiTheme="majorHAnsi" w:hAnsiTheme="majorHAnsi"/>
                <w:b/>
                <w:sz w:val="19"/>
                <w:szCs w:val="19"/>
              </w:rPr>
            </w:pPr>
            <w:r w:rsidRPr="009222CF">
              <w:rPr>
                <w:rFonts w:asciiTheme="majorHAnsi" w:hAnsiTheme="majorHAnsi"/>
                <w:b/>
                <w:sz w:val="19"/>
                <w:szCs w:val="19"/>
              </w:rPr>
              <w:t>Заварени</w:t>
            </w:r>
          </w:p>
          <w:p w:rsidR="002A6283" w:rsidRPr="009222CF" w:rsidRDefault="002A6283" w:rsidP="002A6283">
            <w:pPr>
              <w:ind w:left="113" w:right="113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6283" w:rsidRPr="009222CF" w:rsidRDefault="002A6283" w:rsidP="002A6283">
            <w:pPr>
              <w:ind w:left="113" w:right="113"/>
              <w:rPr>
                <w:rFonts w:asciiTheme="majorHAnsi" w:hAnsiTheme="majorHAnsi"/>
                <w:b/>
                <w:sz w:val="19"/>
                <w:szCs w:val="19"/>
              </w:rPr>
            </w:pPr>
            <w:r w:rsidRPr="009222CF">
              <w:rPr>
                <w:rFonts w:asciiTheme="majorHAnsi" w:hAnsiTheme="majorHAnsi"/>
                <w:b/>
                <w:sz w:val="19"/>
                <w:szCs w:val="19"/>
              </w:rPr>
              <w:t>ПОЛУЧЕНИ</w:t>
            </w:r>
          </w:p>
        </w:tc>
        <w:tc>
          <w:tcPr>
            <w:tcW w:w="70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2A6283" w:rsidRPr="009222CF" w:rsidRDefault="002A6283" w:rsidP="002A6283">
            <w:pPr>
              <w:rPr>
                <w:rFonts w:asciiTheme="majorHAnsi" w:hAnsiTheme="majorHAnsi"/>
                <w:b/>
                <w:sz w:val="19"/>
                <w:szCs w:val="19"/>
              </w:rPr>
            </w:pPr>
            <w:r w:rsidRPr="009222CF">
              <w:rPr>
                <w:rFonts w:asciiTheme="majorHAnsi" w:hAnsiTheme="majorHAnsi"/>
                <w:b/>
                <w:sz w:val="19"/>
                <w:szCs w:val="19"/>
              </w:rPr>
              <w:t xml:space="preserve">РЕШЕНИ </w:t>
            </w:r>
            <w:r w:rsidRPr="009222CF">
              <w:rPr>
                <w:rFonts w:asciiTheme="majorHAnsi" w:hAnsiTheme="majorHAnsi"/>
                <w:sz w:val="19"/>
                <w:szCs w:val="19"/>
              </w:rPr>
              <w:t>с предложение за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83" w:rsidRPr="009222CF" w:rsidRDefault="002A6283" w:rsidP="002A6283">
            <w:pPr>
              <w:ind w:right="-108"/>
              <w:rPr>
                <w:rFonts w:asciiTheme="majorHAnsi" w:hAnsiTheme="majorHAnsi"/>
                <w:b/>
                <w:sz w:val="19"/>
                <w:szCs w:val="19"/>
              </w:rPr>
            </w:pPr>
            <w:r w:rsidRPr="009222CF">
              <w:rPr>
                <w:rFonts w:asciiTheme="majorHAnsi" w:hAnsiTheme="majorHAnsi"/>
                <w:b/>
                <w:sz w:val="19"/>
                <w:szCs w:val="19"/>
              </w:rPr>
              <w:t xml:space="preserve">ВИСЯЩИ </w:t>
            </w:r>
          </w:p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 xml:space="preserve">пред КП в края на месеца </w:t>
            </w:r>
            <w:r w:rsidRPr="009222CF">
              <w:rPr>
                <w:rFonts w:asciiTheme="majorHAnsi" w:hAnsiTheme="majorHAnsi"/>
                <w:sz w:val="19"/>
                <w:szCs w:val="19"/>
                <w:lang w:val="en-US"/>
              </w:rPr>
              <w:t>(</w:t>
            </w:r>
            <w:r w:rsidRPr="009222CF">
              <w:rPr>
                <w:rFonts w:asciiTheme="majorHAnsi" w:hAnsiTheme="majorHAnsi"/>
                <w:sz w:val="19"/>
                <w:szCs w:val="19"/>
              </w:rPr>
              <w:t>разпре-делени)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283" w:rsidRPr="009222CF" w:rsidRDefault="002A6283" w:rsidP="002A6283">
            <w:pPr>
              <w:ind w:left="113" w:right="113"/>
              <w:rPr>
                <w:rFonts w:asciiTheme="majorHAnsi" w:hAnsiTheme="majorHAnsi"/>
                <w:b/>
                <w:sz w:val="19"/>
                <w:szCs w:val="19"/>
              </w:rPr>
            </w:pPr>
            <w:r w:rsidRPr="009222CF">
              <w:rPr>
                <w:rFonts w:asciiTheme="majorHAnsi" w:hAnsiTheme="majorHAnsi"/>
                <w:b/>
                <w:sz w:val="19"/>
                <w:szCs w:val="19"/>
              </w:rPr>
              <w:t xml:space="preserve">Чакат справки </w:t>
            </w:r>
            <w:r w:rsidRPr="009222CF">
              <w:rPr>
                <w:rFonts w:asciiTheme="majorHAnsi" w:hAnsiTheme="majorHAnsi"/>
                <w:sz w:val="19"/>
                <w:szCs w:val="19"/>
              </w:rPr>
              <w:t>(края на мес.)</w:t>
            </w:r>
          </w:p>
        </w:tc>
      </w:tr>
      <w:tr w:rsidR="002A6283" w:rsidRPr="009222CF" w:rsidTr="002A6283">
        <w:trPr>
          <w:trHeight w:val="30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83" w:rsidRPr="009222CF" w:rsidRDefault="002A6283" w:rsidP="002A6283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83" w:rsidRPr="009222CF" w:rsidRDefault="002A6283" w:rsidP="002A6283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83" w:rsidRPr="009222CF" w:rsidRDefault="002A6283" w:rsidP="002A6283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  <w:hideMark/>
          </w:tcPr>
          <w:p w:rsidR="002A6283" w:rsidRPr="009222CF" w:rsidRDefault="002A6283" w:rsidP="002A6283">
            <w:pPr>
              <w:ind w:left="113" w:right="113"/>
              <w:rPr>
                <w:rFonts w:asciiTheme="majorHAnsi" w:hAnsiTheme="majorHAnsi"/>
                <w:b/>
                <w:sz w:val="19"/>
                <w:szCs w:val="19"/>
              </w:rPr>
            </w:pPr>
            <w:r w:rsidRPr="009222CF">
              <w:rPr>
                <w:rFonts w:asciiTheme="majorHAnsi" w:hAnsiTheme="majorHAnsi"/>
                <w:b/>
                <w:sz w:val="19"/>
                <w:szCs w:val="19"/>
              </w:rPr>
              <w:t>Общо решени</w:t>
            </w:r>
          </w:p>
        </w:tc>
        <w:tc>
          <w:tcPr>
            <w:tcW w:w="5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A6283" w:rsidRPr="009222CF" w:rsidRDefault="002A6283" w:rsidP="002A6283">
            <w:pPr>
              <w:rPr>
                <w:rFonts w:asciiTheme="majorHAnsi" w:hAnsiTheme="majorHAnsi"/>
                <w:b/>
                <w:sz w:val="19"/>
                <w:szCs w:val="19"/>
                <w:lang w:val="en-US"/>
              </w:rPr>
            </w:pPr>
            <w:r w:rsidRPr="009222CF">
              <w:rPr>
                <w:rFonts w:asciiTheme="majorHAnsi" w:hAnsiTheme="majorHAnsi"/>
                <w:b/>
                <w:sz w:val="19"/>
                <w:szCs w:val="19"/>
              </w:rPr>
              <w:t>Прекратяване</w:t>
            </w:r>
            <w:r w:rsidRPr="009222CF">
              <w:rPr>
                <w:rFonts w:asciiTheme="majorHAnsi" w:hAnsiTheme="majorHAnsi"/>
                <w:b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6283" w:rsidRPr="009222CF" w:rsidRDefault="002A6283" w:rsidP="002A6283">
            <w:pPr>
              <w:ind w:left="113" w:right="113"/>
              <w:rPr>
                <w:rFonts w:asciiTheme="majorHAnsi" w:hAnsiTheme="majorHAnsi"/>
                <w:b/>
                <w:sz w:val="19"/>
                <w:szCs w:val="19"/>
                <w:lang w:val="en-US"/>
              </w:rPr>
            </w:pPr>
            <w:r w:rsidRPr="009222CF">
              <w:rPr>
                <w:rFonts w:asciiTheme="majorHAnsi" w:hAnsiTheme="majorHAnsi"/>
                <w:b/>
                <w:sz w:val="19"/>
                <w:szCs w:val="19"/>
              </w:rPr>
              <w:t>Отказ</w:t>
            </w:r>
            <w:r w:rsidRPr="009222CF">
              <w:rPr>
                <w:rFonts w:asciiTheme="majorHAnsi" w:hAnsiTheme="majorHAnsi"/>
                <w:b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6283" w:rsidRPr="009222CF" w:rsidRDefault="002A6283" w:rsidP="002A6283">
            <w:pPr>
              <w:ind w:left="113" w:right="113"/>
              <w:rPr>
                <w:rFonts w:asciiTheme="majorHAnsi" w:hAnsiTheme="majorHAnsi"/>
                <w:b/>
                <w:sz w:val="19"/>
                <w:szCs w:val="19"/>
              </w:rPr>
            </w:pPr>
            <w:r w:rsidRPr="009222CF">
              <w:rPr>
                <w:rFonts w:asciiTheme="majorHAnsi" w:hAnsiTheme="majorHAnsi"/>
                <w:b/>
                <w:sz w:val="19"/>
                <w:szCs w:val="19"/>
              </w:rPr>
              <w:t>Помилване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2A6283" w:rsidRPr="009222CF" w:rsidTr="002A6283">
        <w:trPr>
          <w:cantSplit/>
          <w:trHeight w:val="2136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83" w:rsidRPr="009222CF" w:rsidRDefault="002A6283" w:rsidP="002A6283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83" w:rsidRPr="009222CF" w:rsidRDefault="002A6283" w:rsidP="002A6283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83" w:rsidRPr="009222CF" w:rsidRDefault="002A6283" w:rsidP="002A6283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83" w:rsidRPr="009222CF" w:rsidRDefault="002A6283" w:rsidP="002A6283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extDirection w:val="btLr"/>
            <w:hideMark/>
          </w:tcPr>
          <w:p w:rsidR="002A6283" w:rsidRPr="009222CF" w:rsidRDefault="002A6283" w:rsidP="002A6283">
            <w:pPr>
              <w:ind w:left="113" w:right="113"/>
              <w:rPr>
                <w:rFonts w:asciiTheme="majorHAnsi" w:hAnsiTheme="majorHAnsi"/>
                <w:b/>
                <w:sz w:val="19"/>
                <w:szCs w:val="19"/>
              </w:rPr>
            </w:pPr>
            <w:r w:rsidRPr="009222CF">
              <w:rPr>
                <w:rFonts w:asciiTheme="majorHAnsi" w:hAnsiTheme="majorHAnsi"/>
                <w:b/>
                <w:sz w:val="19"/>
                <w:szCs w:val="19"/>
              </w:rPr>
              <w:t>общо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6283" w:rsidRPr="009222CF" w:rsidRDefault="002A6283" w:rsidP="002A6283">
            <w:pPr>
              <w:ind w:left="113" w:right="113"/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Няма нови обстоятелства след постановен отказ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6283" w:rsidRPr="009222CF" w:rsidRDefault="002A6283" w:rsidP="002A6283">
            <w:pPr>
              <w:ind w:left="113" w:right="113"/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 xml:space="preserve">Изтърпяно наказание (вкл. глоба)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6283" w:rsidRPr="009222CF" w:rsidRDefault="002A6283" w:rsidP="002A6283">
            <w:pPr>
              <w:ind w:left="113" w:right="113"/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Починал молител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6283" w:rsidRPr="009222CF" w:rsidRDefault="002A6283" w:rsidP="002A6283">
            <w:pPr>
              <w:ind w:left="113" w:right="113"/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 xml:space="preserve">Молителят не търси помилване (амнистия, реабилитация, опрощаване на изпитателен срок)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283" w:rsidRPr="009222CF" w:rsidRDefault="002A6283" w:rsidP="002A6283">
            <w:pPr>
              <w:ind w:left="113" w:right="113"/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Неприложимо помилване (висящ процес, чуждестранна присъда,  давност)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6283" w:rsidRPr="009222CF" w:rsidRDefault="002A6283" w:rsidP="002A6283">
            <w:pPr>
              <w:ind w:left="113" w:right="113"/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Молителят отказва съдействие/оттегля молбата</w:t>
            </w: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83" w:rsidRPr="009222CF" w:rsidRDefault="002A6283" w:rsidP="002A6283">
            <w:pPr>
              <w:rPr>
                <w:rFonts w:asciiTheme="majorHAnsi" w:hAnsiTheme="majorHAnsi"/>
                <w:b/>
                <w:sz w:val="19"/>
                <w:szCs w:val="19"/>
                <w:lang w:val="en-US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83" w:rsidRPr="009222CF" w:rsidRDefault="002A6283" w:rsidP="002A6283">
            <w:pPr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</w:p>
        </w:tc>
      </w:tr>
      <w:tr w:rsidR="002A6283" w:rsidRPr="009222CF" w:rsidTr="002A628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01-2015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F00520" w:rsidP="002A6283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sz w:val="19"/>
                <w:szCs w:val="19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B54F91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55</w:t>
            </w:r>
          </w:p>
        </w:tc>
      </w:tr>
      <w:tr w:rsidR="002A6283" w:rsidRPr="009222CF" w:rsidTr="002A628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02-2015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F00520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7B19B8" w:rsidRDefault="007B19B8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A6283" w:rsidRPr="009222CF" w:rsidRDefault="007B19B8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A6283" w:rsidRPr="00921B9B" w:rsidRDefault="002A6283" w:rsidP="002A6283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1B9B" w:rsidRDefault="002A6283" w:rsidP="002A6283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A4005A" w:rsidRDefault="002A6283" w:rsidP="002A6283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A4005A" w:rsidRDefault="002A6283" w:rsidP="002A6283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A4005A" w:rsidRDefault="002A6283" w:rsidP="002A6283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A4005A" w:rsidRDefault="002A6283" w:rsidP="002A6283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A4005A" w:rsidRDefault="002A6283" w:rsidP="002A6283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7B19B8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52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7565E2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34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Default="00F00520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74</w:t>
            </w:r>
          </w:p>
        </w:tc>
      </w:tr>
      <w:tr w:rsidR="002A6283" w:rsidRPr="009222CF" w:rsidTr="002A628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Default="002A6283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03-2015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F00520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7B19B8" w:rsidRDefault="007B19B8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A6283" w:rsidRPr="009222CF" w:rsidRDefault="007B19B8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A6283" w:rsidRPr="00921B9B" w:rsidRDefault="002A6283" w:rsidP="002A6283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1B9B" w:rsidRDefault="002A6283" w:rsidP="002A6283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A4005A" w:rsidRDefault="002A6283" w:rsidP="002A6283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A4005A" w:rsidRDefault="002A6283" w:rsidP="002A6283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A4005A" w:rsidRDefault="002A6283" w:rsidP="002A6283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A4005A" w:rsidRDefault="002A6283" w:rsidP="002A6283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A4005A" w:rsidRDefault="002A6283" w:rsidP="002A6283">
            <w:pPr>
              <w:rPr>
                <w:rFonts w:asciiTheme="majorHAnsi" w:hAnsiTheme="majorHAnsi"/>
                <w:sz w:val="19"/>
                <w:szCs w:val="19"/>
                <w:lang w:val="en-US"/>
              </w:rPr>
            </w:pPr>
            <w:r>
              <w:rPr>
                <w:rFonts w:asciiTheme="majorHAnsi" w:hAnsiTheme="majorHAnsi"/>
                <w:sz w:val="19"/>
                <w:szCs w:val="19"/>
                <w:lang w:val="en-US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7B19B8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7565E2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Pr="009222CF" w:rsidRDefault="007565E2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83" w:rsidRDefault="00F00520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6</w:t>
            </w:r>
            <w:r w:rsidR="000507BB">
              <w:rPr>
                <w:rFonts w:asciiTheme="majorHAnsi" w:hAnsiTheme="majorHAnsi"/>
                <w:sz w:val="19"/>
                <w:szCs w:val="19"/>
              </w:rPr>
              <w:t>8</w:t>
            </w:r>
          </w:p>
        </w:tc>
      </w:tr>
      <w:tr w:rsidR="00F64B83" w:rsidRPr="009222CF" w:rsidTr="002A628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Default="00F64B83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04-2015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Default="00F64B83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Default="00F64B83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4B83" w:rsidRDefault="00F64B83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64B83" w:rsidRPr="00C34172" w:rsidRDefault="00C34172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Pr="00FD685C" w:rsidRDefault="00FD685C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Pr="00FD685C" w:rsidRDefault="00FD685C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Pr="00FD685C" w:rsidRDefault="00FD685C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Pr="00FD685C" w:rsidRDefault="00FD685C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Pr="00FD685C" w:rsidRDefault="00FD685C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Pr="00FD685C" w:rsidRDefault="00FD685C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Default="00F64B83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49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Default="00F64B83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Default="00FD685C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Default="00F77823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52</w:t>
            </w:r>
          </w:p>
        </w:tc>
      </w:tr>
      <w:tr w:rsidR="00F64B83" w:rsidRPr="009222CF" w:rsidTr="002A628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Default="00F64B83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05-2015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Default="00F64B83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Default="00F64B83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4B83" w:rsidRDefault="00F64B83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64B83" w:rsidRPr="00F64B83" w:rsidRDefault="00F64B83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Pr="00FD685C" w:rsidRDefault="00FD685C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Pr="00FD685C" w:rsidRDefault="00FD685C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Pr="00FD685C" w:rsidRDefault="00FD685C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Pr="00FD685C" w:rsidRDefault="00FD685C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Pr="00FD685C" w:rsidRDefault="00FD685C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Pr="00FD685C" w:rsidRDefault="00FD685C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Default="00F64B83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3</w:t>
            </w:r>
            <w:r w:rsidR="00F56105">
              <w:rPr>
                <w:rFonts w:asciiTheme="majorHAnsi" w:hAnsiTheme="majorHAnsi"/>
                <w:sz w:val="19"/>
                <w:szCs w:val="19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Default="00F56105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Default="00FD685C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Default="00F77823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48</w:t>
            </w:r>
          </w:p>
        </w:tc>
      </w:tr>
      <w:tr w:rsidR="00F64B83" w:rsidRPr="009222CF" w:rsidTr="002A628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Default="00F64B83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06-2015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Default="00F64B83" w:rsidP="00F64B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Default="00C34172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64B83" w:rsidRDefault="00C34172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64B83" w:rsidRPr="00C34172" w:rsidRDefault="00C34172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Pr="00FD685C" w:rsidRDefault="00FD685C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Pr="00FD685C" w:rsidRDefault="00FD685C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Pr="00FD685C" w:rsidRDefault="00FD685C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Pr="00FD685C" w:rsidRDefault="00FD685C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Pr="00FD685C" w:rsidRDefault="00FD685C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Pr="00FD685C" w:rsidRDefault="00FD685C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Default="00C34172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39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Default="00C34172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Default="00FD685C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83" w:rsidRDefault="00C34172" w:rsidP="002A6283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60</w:t>
            </w:r>
          </w:p>
        </w:tc>
      </w:tr>
      <w:tr w:rsidR="002A6283" w:rsidRPr="009222CF" w:rsidTr="002A6283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2A6283" w:rsidRPr="009222CF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 w:rsidRPr="009222CF">
              <w:rPr>
                <w:rFonts w:asciiTheme="majorHAnsi" w:hAnsiTheme="majorHAnsi"/>
                <w:b/>
                <w:color w:val="FFFFFF" w:themeColor="background1"/>
                <w:sz w:val="19"/>
                <w:szCs w:val="19"/>
              </w:rPr>
              <w:t>ОБЩО</w:t>
            </w:r>
            <w:r w:rsidRPr="009222CF"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 xml:space="preserve"> </w:t>
            </w:r>
          </w:p>
          <w:p w:rsidR="002A6283" w:rsidRPr="009222CF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2A6283" w:rsidRPr="009222CF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6</w:t>
            </w:r>
            <w:r w:rsidRPr="009222CF"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2A6283" w:rsidRPr="007B19B8" w:rsidRDefault="00F64B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217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2A6283" w:rsidRPr="009222CF" w:rsidRDefault="00F64B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227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2A6283" w:rsidRPr="009222CF" w:rsidRDefault="00F64B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2A6283" w:rsidRPr="009222CF" w:rsidRDefault="00FD685C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2A6283" w:rsidRPr="009222CF" w:rsidRDefault="007565E2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0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2A6283" w:rsidRPr="009222CF" w:rsidRDefault="007565E2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2A6283" w:rsidRPr="009222CF" w:rsidRDefault="007565E2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2A6283" w:rsidRPr="009222CF" w:rsidRDefault="007565E2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2A6283" w:rsidRPr="009222CF" w:rsidRDefault="00FD685C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2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2A6283" w:rsidRPr="009222CF" w:rsidRDefault="00F56105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199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2A6283" w:rsidRPr="009222CF" w:rsidRDefault="00F56105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2A6283" w:rsidRPr="009222CF" w:rsidRDefault="007565E2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  <w:t>28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</w:tcPr>
          <w:p w:rsidR="002A6283" w:rsidRPr="007B19B8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</w:tr>
      <w:tr w:rsidR="002A6283" w:rsidRPr="009222CF" w:rsidTr="002A6283"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83" w:rsidRPr="009222CF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6228" w:themeFill="accent3" w:themeFillShade="80"/>
            <w:hideMark/>
          </w:tcPr>
          <w:p w:rsidR="002A6283" w:rsidRPr="007B19B8" w:rsidRDefault="00F64B83" w:rsidP="002A6283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19"/>
                <w:szCs w:val="19"/>
              </w:rPr>
            </w:pPr>
            <w:r>
              <w:rPr>
                <w:rFonts w:asciiTheme="majorHAnsi" w:hAnsiTheme="majorHAnsi"/>
                <w:b/>
                <w:color w:val="FFFFFF" w:themeColor="background1"/>
                <w:sz w:val="19"/>
                <w:szCs w:val="19"/>
              </w:rPr>
              <w:t>277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83" w:rsidRPr="009222CF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  <w:u w:val="single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83" w:rsidRPr="009222CF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83" w:rsidRPr="009222CF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83" w:rsidRPr="009222CF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  <w:u w:val="single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83" w:rsidRPr="009222CF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283" w:rsidRPr="009222CF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283" w:rsidRPr="009222CF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283" w:rsidRPr="009222CF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83" w:rsidRPr="009222CF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83" w:rsidRPr="009222CF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83" w:rsidRPr="009222CF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283" w:rsidRPr="009222CF" w:rsidRDefault="002A6283" w:rsidP="002A6283">
            <w:pPr>
              <w:rPr>
                <w:rFonts w:asciiTheme="majorHAnsi" w:hAnsiTheme="majorHAnsi"/>
                <w:color w:val="FFFFFF" w:themeColor="background1"/>
                <w:sz w:val="19"/>
                <w:szCs w:val="19"/>
              </w:rPr>
            </w:pPr>
          </w:p>
        </w:tc>
      </w:tr>
    </w:tbl>
    <w:p w:rsidR="00A86172" w:rsidRDefault="00A86172" w:rsidP="003A1FA3">
      <w:pPr>
        <w:ind w:left="359" w:firstLine="709"/>
        <w:jc w:val="both"/>
        <w:rPr>
          <w:rFonts w:asciiTheme="majorHAnsi" w:hAnsiTheme="majorHAnsi"/>
          <w:b/>
        </w:rPr>
      </w:pPr>
    </w:p>
    <w:p w:rsidR="00AC5AD6" w:rsidRDefault="00AC5AD6" w:rsidP="00FF1FF2">
      <w:pPr>
        <w:pStyle w:val="ListParagraph"/>
        <w:ind w:left="0"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</w:t>
      </w:r>
      <w:r w:rsidR="00F64B83">
        <w:rPr>
          <w:rFonts w:asciiTheme="majorHAnsi" w:hAnsiTheme="majorHAnsi"/>
        </w:rPr>
        <w:t xml:space="preserve">рез второто тримесечие на 2015 г. </w:t>
      </w:r>
      <w:r>
        <w:rPr>
          <w:rFonts w:asciiTheme="majorHAnsi" w:hAnsiTheme="majorHAnsi"/>
        </w:rPr>
        <w:t xml:space="preserve">Комисията е решила </w:t>
      </w:r>
      <w:r w:rsidRPr="001F3530">
        <w:rPr>
          <w:rFonts w:asciiTheme="majorHAnsi" w:hAnsiTheme="majorHAnsi"/>
          <w:b/>
        </w:rPr>
        <w:t>общо 113 препис</w:t>
      </w:r>
      <w:r w:rsidR="00440A00" w:rsidRPr="001F3530">
        <w:rPr>
          <w:rFonts w:asciiTheme="majorHAnsi" w:hAnsiTheme="majorHAnsi"/>
          <w:b/>
        </w:rPr>
        <w:t>ки</w:t>
      </w:r>
      <w:r w:rsidR="00440A00">
        <w:rPr>
          <w:rFonts w:asciiTheme="majorHAnsi" w:hAnsiTheme="majorHAnsi"/>
        </w:rPr>
        <w:t xml:space="preserve"> по общо </w:t>
      </w:r>
      <w:r w:rsidR="00440A00" w:rsidRPr="001F3530">
        <w:rPr>
          <w:rFonts w:asciiTheme="majorHAnsi" w:hAnsiTheme="majorHAnsi"/>
          <w:b/>
        </w:rPr>
        <w:t>141 молби</w:t>
      </w:r>
      <w:r w:rsidR="00440A00">
        <w:rPr>
          <w:rFonts w:asciiTheme="majorHAnsi" w:hAnsiTheme="majorHAnsi"/>
        </w:rPr>
        <w:t xml:space="preserve"> з</w:t>
      </w:r>
      <w:r w:rsidR="00A67173">
        <w:rPr>
          <w:rFonts w:asciiTheme="majorHAnsi" w:hAnsiTheme="majorHAnsi"/>
        </w:rPr>
        <w:t xml:space="preserve">а общо </w:t>
      </w:r>
      <w:r w:rsidR="00A67173" w:rsidRPr="001F3530">
        <w:rPr>
          <w:rFonts w:asciiTheme="majorHAnsi" w:hAnsiTheme="majorHAnsi"/>
          <w:b/>
        </w:rPr>
        <w:t>107</w:t>
      </w:r>
      <w:r w:rsidRPr="001F3530">
        <w:rPr>
          <w:rFonts w:asciiTheme="majorHAnsi" w:hAnsiTheme="majorHAnsi"/>
          <w:b/>
        </w:rPr>
        <w:t xml:space="preserve"> </w:t>
      </w:r>
      <w:r w:rsidR="00440A00" w:rsidRPr="001F3530">
        <w:rPr>
          <w:rFonts w:asciiTheme="majorHAnsi" w:hAnsiTheme="majorHAnsi"/>
          <w:b/>
        </w:rPr>
        <w:t>осъдени лица</w:t>
      </w:r>
      <w:r w:rsidR="00440A00">
        <w:rPr>
          <w:rFonts w:asciiTheme="majorHAnsi" w:hAnsiTheme="majorHAnsi"/>
        </w:rPr>
        <w:t xml:space="preserve">, извършили общо </w:t>
      </w:r>
      <w:r w:rsidR="00440A00" w:rsidRPr="001F3530">
        <w:rPr>
          <w:rFonts w:asciiTheme="majorHAnsi" w:hAnsiTheme="majorHAnsi"/>
          <w:b/>
        </w:rPr>
        <w:t>100 престъпления</w:t>
      </w:r>
      <w:r>
        <w:rPr>
          <w:rFonts w:asciiTheme="majorHAnsi" w:hAnsiTheme="majorHAnsi"/>
        </w:rPr>
        <w:t>.</w:t>
      </w:r>
      <w:r w:rsidR="001F3530">
        <w:rPr>
          <w:rFonts w:asciiTheme="majorHAnsi" w:hAnsiTheme="majorHAnsi"/>
        </w:rPr>
        <w:t xml:space="preserve"> Общият брой </w:t>
      </w:r>
      <w:r w:rsidR="001F3530" w:rsidRPr="001F3530">
        <w:rPr>
          <w:rFonts w:asciiTheme="majorHAnsi" w:hAnsiTheme="majorHAnsi"/>
          <w:b/>
        </w:rPr>
        <w:t>молители е 111</w:t>
      </w:r>
      <w:r w:rsidR="001F3530">
        <w:rPr>
          <w:rFonts w:asciiTheme="majorHAnsi" w:hAnsiTheme="majorHAnsi"/>
        </w:rPr>
        <w:t xml:space="preserve">, от които </w:t>
      </w:r>
      <w:r w:rsidR="001F3530" w:rsidRPr="001F3530">
        <w:rPr>
          <w:rFonts w:asciiTheme="majorHAnsi" w:hAnsiTheme="majorHAnsi"/>
          <w:b/>
        </w:rPr>
        <w:t>3</w:t>
      </w:r>
      <w:r w:rsidR="001F3530">
        <w:rPr>
          <w:rFonts w:asciiTheme="majorHAnsi" w:hAnsiTheme="majorHAnsi"/>
        </w:rPr>
        <w:t xml:space="preserve"> молби са подадени от близко на осъдения лице и </w:t>
      </w:r>
      <w:r w:rsidR="001F3530" w:rsidRPr="001F3530">
        <w:rPr>
          <w:rFonts w:asciiTheme="majorHAnsi" w:hAnsiTheme="majorHAnsi"/>
          <w:b/>
        </w:rPr>
        <w:t>5</w:t>
      </w:r>
      <w:r w:rsidR="001F3530">
        <w:rPr>
          <w:rFonts w:asciiTheme="majorHAnsi" w:hAnsiTheme="majorHAnsi"/>
        </w:rPr>
        <w:t xml:space="preserve"> молби са подадени от адвокат. Осъдените лица, които лично са молили да бъдат помилвани, са </w:t>
      </w:r>
      <w:r w:rsidR="001F3530" w:rsidRPr="001F3530">
        <w:rPr>
          <w:rFonts w:asciiTheme="majorHAnsi" w:hAnsiTheme="majorHAnsi"/>
          <w:b/>
        </w:rPr>
        <w:t>103</w:t>
      </w:r>
      <w:r w:rsidR="001F3530">
        <w:rPr>
          <w:rFonts w:asciiTheme="majorHAnsi" w:hAnsiTheme="majorHAnsi"/>
        </w:rPr>
        <w:t>.</w:t>
      </w:r>
    </w:p>
    <w:p w:rsidR="00F77823" w:rsidRDefault="00AC5AD6" w:rsidP="00FF1FF2">
      <w:pPr>
        <w:pStyle w:val="ListParagraph"/>
        <w:ind w:left="0"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Б</w:t>
      </w:r>
      <w:r w:rsidR="00F64B83">
        <w:rPr>
          <w:rFonts w:asciiTheme="majorHAnsi" w:hAnsiTheme="majorHAnsi"/>
        </w:rPr>
        <w:t>роят на решените молби</w:t>
      </w:r>
      <w:r w:rsidR="00047325">
        <w:rPr>
          <w:rFonts w:asciiTheme="majorHAnsi" w:hAnsiTheme="majorHAnsi"/>
        </w:rPr>
        <w:t xml:space="preserve"> и сроковете за тяхното разглеждане и решаване</w:t>
      </w:r>
      <w:r w:rsidR="00F64B8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продължава да </w:t>
      </w:r>
      <w:r w:rsidR="00F64B83">
        <w:rPr>
          <w:rFonts w:asciiTheme="majorHAnsi" w:hAnsiTheme="majorHAnsi"/>
        </w:rPr>
        <w:t xml:space="preserve">зависи от навременното получаване на </w:t>
      </w:r>
      <w:r w:rsidR="00FF1FF2">
        <w:rPr>
          <w:rFonts w:asciiTheme="majorHAnsi" w:hAnsiTheme="majorHAnsi"/>
        </w:rPr>
        <w:t>информация, която Комисията изисква от други държавни органи</w:t>
      </w:r>
      <w:r w:rsidR="00047325">
        <w:rPr>
          <w:rFonts w:asciiTheme="majorHAnsi" w:hAnsiTheme="majorHAnsi"/>
        </w:rPr>
        <w:t>, най-съществените от които са затворните администрации</w:t>
      </w:r>
      <w:r w:rsidR="00F77823">
        <w:rPr>
          <w:rFonts w:asciiTheme="majorHAnsi" w:hAnsiTheme="majorHAnsi"/>
        </w:rPr>
        <w:t xml:space="preserve">. </w:t>
      </w:r>
    </w:p>
    <w:p w:rsidR="00047325" w:rsidRDefault="00F77823" w:rsidP="00FF1FF2">
      <w:pPr>
        <w:pStyle w:val="ListParagraph"/>
        <w:ind w:left="0"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Броят на молбите, по които в края на съответния месец все още в Комисията не са получени справките от ГД ,,Изпълнение на наказанията“ към Министерството на правосъдието, продължава да е по-висок в сравнение със същите периоди на миналите мандатни год</w:t>
      </w:r>
      <w:r w:rsidR="00047325">
        <w:rPr>
          <w:rFonts w:asciiTheme="majorHAnsi" w:hAnsiTheme="majorHAnsi"/>
        </w:rPr>
        <w:t>и</w:t>
      </w:r>
      <w:r>
        <w:rPr>
          <w:rFonts w:asciiTheme="majorHAnsi" w:hAnsiTheme="majorHAnsi"/>
        </w:rPr>
        <w:t xml:space="preserve">ни. </w:t>
      </w:r>
      <w:r w:rsidR="00F70525">
        <w:rPr>
          <w:rFonts w:asciiTheme="majorHAnsi" w:hAnsiTheme="majorHAnsi"/>
        </w:rPr>
        <w:t>През настоящия отчетен период с</w:t>
      </w:r>
      <w:r>
        <w:rPr>
          <w:rFonts w:asciiTheme="majorHAnsi" w:hAnsiTheme="majorHAnsi"/>
        </w:rPr>
        <w:t xml:space="preserve">рокът между поискването и получаването на справките от Комисията за първи път от началото на мандата надхвърли 3 месеца. През април са получени </w:t>
      </w:r>
      <w:r w:rsidR="00047325">
        <w:rPr>
          <w:rFonts w:asciiTheme="majorHAnsi" w:hAnsiTheme="majorHAnsi"/>
        </w:rPr>
        <w:t>общо 30 от очакваните 6</w:t>
      </w:r>
      <w:r>
        <w:rPr>
          <w:rFonts w:asciiTheme="majorHAnsi" w:hAnsiTheme="majorHAnsi"/>
        </w:rPr>
        <w:t>4 справки, а през май  -- 1(една) справка</w:t>
      </w:r>
      <w:r w:rsidR="00047325">
        <w:rPr>
          <w:rFonts w:asciiTheme="majorHAnsi" w:hAnsiTheme="majorHAnsi"/>
        </w:rPr>
        <w:t xml:space="preserve"> от общо 84</w:t>
      </w:r>
      <w:r>
        <w:rPr>
          <w:rFonts w:asciiTheme="majorHAnsi" w:hAnsiTheme="majorHAnsi"/>
        </w:rPr>
        <w:t>, като всички получени справки са изготвени от екипите на затворите</w:t>
      </w:r>
      <w:r w:rsidR="00047325">
        <w:rPr>
          <w:rFonts w:asciiTheme="majorHAnsi" w:hAnsiTheme="majorHAnsi"/>
        </w:rPr>
        <w:t xml:space="preserve"> около и над 2 месеца преди изпращането им в Комисията</w:t>
      </w:r>
      <w:r>
        <w:rPr>
          <w:rFonts w:asciiTheme="majorHAnsi" w:hAnsiTheme="majorHAnsi"/>
        </w:rPr>
        <w:t xml:space="preserve">. В резултат на усилията на Комисията за преодоляване на </w:t>
      </w:r>
      <w:r w:rsidR="00047325">
        <w:rPr>
          <w:rFonts w:asciiTheme="majorHAnsi" w:hAnsiTheme="majorHAnsi"/>
        </w:rPr>
        <w:t>забавянето в административното придвижване на справките</w:t>
      </w:r>
      <w:r>
        <w:rPr>
          <w:rFonts w:asciiTheme="majorHAnsi" w:hAnsiTheme="majorHAnsi"/>
        </w:rPr>
        <w:t>, през юни получените справки са 61</w:t>
      </w:r>
      <w:r w:rsidR="00047325">
        <w:rPr>
          <w:rFonts w:asciiTheme="majorHAnsi" w:hAnsiTheme="majorHAnsi"/>
        </w:rPr>
        <w:t xml:space="preserve"> от очакваните 67, </w:t>
      </w:r>
      <w:r w:rsidR="00C34172">
        <w:rPr>
          <w:rFonts w:asciiTheme="majorHAnsi" w:hAnsiTheme="majorHAnsi"/>
        </w:rPr>
        <w:t>но</w:t>
      </w:r>
      <w:r w:rsidR="00047325">
        <w:rPr>
          <w:rFonts w:asciiTheme="majorHAnsi" w:hAnsiTheme="majorHAnsi"/>
        </w:rPr>
        <w:t xml:space="preserve"> броят на закъсняващите справки да остава висок.</w:t>
      </w:r>
    </w:p>
    <w:p w:rsidR="00FF1FF2" w:rsidRDefault="00047325" w:rsidP="00FF1FF2">
      <w:pPr>
        <w:pStyle w:val="ListParagraph"/>
        <w:ind w:left="0"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Описаното забавяне доведе до увеличаване на срока, в които Комисията разглежда и решава постъпилите молби</w:t>
      </w:r>
      <w:r w:rsidR="00737246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</w:t>
      </w:r>
      <w:r w:rsidR="00737246">
        <w:rPr>
          <w:rFonts w:asciiTheme="majorHAnsi" w:hAnsiTheme="majorHAnsi"/>
        </w:rPr>
        <w:t>В</w:t>
      </w:r>
      <w:r>
        <w:rPr>
          <w:rFonts w:asciiTheme="majorHAnsi" w:hAnsiTheme="majorHAnsi"/>
        </w:rPr>
        <w:t xml:space="preserve"> резултат на </w:t>
      </w:r>
      <w:r w:rsidR="00737246">
        <w:rPr>
          <w:rFonts w:asciiTheme="majorHAnsi" w:hAnsiTheme="majorHAnsi"/>
        </w:rPr>
        <w:t>това</w:t>
      </w:r>
      <w:r>
        <w:rPr>
          <w:rFonts w:asciiTheme="majorHAnsi" w:hAnsiTheme="majorHAnsi"/>
        </w:rPr>
        <w:t xml:space="preserve"> се увеличи и броят на многократно подадените молби от едни и същи молители, обезпокоени, че не получават отговор в очаквания от тях срок. </w:t>
      </w:r>
      <w:r w:rsidR="00737246">
        <w:rPr>
          <w:rFonts w:asciiTheme="majorHAnsi" w:hAnsiTheme="majorHAnsi"/>
        </w:rPr>
        <w:t xml:space="preserve">Освен това забавянето наложи допълнителни </w:t>
      </w:r>
      <w:r w:rsidR="00F70525">
        <w:rPr>
          <w:rFonts w:asciiTheme="majorHAnsi" w:hAnsiTheme="majorHAnsi"/>
        </w:rPr>
        <w:t xml:space="preserve">усилия </w:t>
      </w:r>
      <w:r w:rsidR="00737246">
        <w:rPr>
          <w:rFonts w:asciiTheme="majorHAnsi" w:hAnsiTheme="majorHAnsi"/>
        </w:rPr>
        <w:t xml:space="preserve">за актуализиране на данните за </w:t>
      </w:r>
      <w:r w:rsidR="00737246">
        <w:rPr>
          <w:rFonts w:asciiTheme="majorHAnsi" w:hAnsiTheme="majorHAnsi"/>
        </w:rPr>
        <w:lastRenderedPageBreak/>
        <w:t>молителите, справките за които са били изготвени от затворите повече от 3 месеца преди да бъдат получени в Комисията.</w:t>
      </w:r>
      <w:r w:rsidR="00A67B3D">
        <w:rPr>
          <w:rFonts w:asciiTheme="majorHAnsi" w:hAnsiTheme="majorHAnsi"/>
        </w:rPr>
        <w:t xml:space="preserve"> </w:t>
      </w:r>
    </w:p>
    <w:p w:rsidR="00A67B3D" w:rsidRPr="00A4005A" w:rsidRDefault="00A67B3D" w:rsidP="00FF1FF2">
      <w:pPr>
        <w:pStyle w:val="ListParagraph"/>
        <w:ind w:left="0"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Въпрек</w:t>
      </w:r>
      <w:r w:rsidR="00AC5AD6">
        <w:rPr>
          <w:rFonts w:asciiTheme="majorHAnsi" w:hAnsiTheme="majorHAnsi"/>
        </w:rPr>
        <w:t>и това Комисията е решила</w:t>
      </w:r>
      <w:r>
        <w:rPr>
          <w:rFonts w:asciiTheme="majorHAnsi" w:hAnsiTheme="majorHAnsi"/>
        </w:rPr>
        <w:t xml:space="preserve"> молби</w:t>
      </w:r>
      <w:r w:rsidR="00AC5AD6">
        <w:rPr>
          <w:rFonts w:asciiTheme="majorHAnsi" w:hAnsiTheme="majorHAnsi"/>
        </w:rPr>
        <w:t xml:space="preserve"> по 29 преписки</w:t>
      </w:r>
      <w:r>
        <w:rPr>
          <w:rFonts w:asciiTheme="majorHAnsi" w:hAnsiTheme="majorHAnsi"/>
        </w:rPr>
        <w:t xml:space="preserve">, подадени от 26 молители, в месеца на подаването им. </w:t>
      </w:r>
    </w:p>
    <w:tbl>
      <w:tblPr>
        <w:tblpPr w:leftFromText="141" w:rightFromText="141" w:bottomFromText="200" w:vertAnchor="text" w:horzAnchor="margin" w:tblpY="186"/>
        <w:tblW w:w="107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2170"/>
        <w:gridCol w:w="1417"/>
        <w:gridCol w:w="1134"/>
        <w:gridCol w:w="3217"/>
      </w:tblGrid>
      <w:tr w:rsidR="00705C66" w:rsidRPr="001F67EB" w:rsidTr="00047325">
        <w:trPr>
          <w:tblHeader/>
        </w:trPr>
        <w:tc>
          <w:tcPr>
            <w:tcW w:w="282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BBB59"/>
            <w:hideMark/>
          </w:tcPr>
          <w:p w:rsidR="00705C66" w:rsidRPr="001F67EB" w:rsidRDefault="00705C66" w:rsidP="00705C66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1F67EB">
              <w:rPr>
                <w:b/>
                <w:bCs/>
                <w:color w:val="FFFFFF"/>
                <w:sz w:val="21"/>
                <w:szCs w:val="21"/>
              </w:rPr>
              <w:t xml:space="preserve">Заседание, </w:t>
            </w:r>
          </w:p>
          <w:p w:rsidR="00705C66" w:rsidRPr="001F67EB" w:rsidRDefault="00705C66" w:rsidP="00705C66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1F67EB">
              <w:rPr>
                <w:b/>
                <w:bCs/>
                <w:color w:val="FFFFFF"/>
                <w:sz w:val="21"/>
                <w:szCs w:val="21"/>
              </w:rPr>
              <w:t xml:space="preserve">дата </w:t>
            </w:r>
          </w:p>
        </w:tc>
        <w:tc>
          <w:tcPr>
            <w:tcW w:w="7938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hideMark/>
          </w:tcPr>
          <w:p w:rsidR="00705C66" w:rsidRPr="001F67EB" w:rsidRDefault="00705C66" w:rsidP="00705C66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1F67EB">
              <w:rPr>
                <w:b/>
                <w:bCs/>
                <w:color w:val="FFFFFF"/>
                <w:sz w:val="21"/>
                <w:szCs w:val="21"/>
              </w:rPr>
              <w:t>Брой молби</w:t>
            </w:r>
          </w:p>
        </w:tc>
      </w:tr>
      <w:tr w:rsidR="00705C66" w:rsidRPr="001F67EB" w:rsidTr="00047325">
        <w:trPr>
          <w:tblHeader/>
        </w:trPr>
        <w:tc>
          <w:tcPr>
            <w:tcW w:w="282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705C66" w:rsidRPr="001F67EB" w:rsidRDefault="00705C66" w:rsidP="00705C66">
            <w:pPr>
              <w:rPr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705C66" w:rsidRPr="001F67EB" w:rsidRDefault="00705C66" w:rsidP="00705C66">
            <w:pPr>
              <w:jc w:val="center"/>
              <w:rPr>
                <w:b/>
                <w:sz w:val="21"/>
                <w:szCs w:val="21"/>
              </w:rPr>
            </w:pPr>
            <w:r w:rsidRPr="001F67EB">
              <w:rPr>
                <w:b/>
                <w:sz w:val="21"/>
                <w:szCs w:val="21"/>
              </w:rPr>
              <w:t xml:space="preserve">Разпределени </w:t>
            </w:r>
          </w:p>
          <w:p w:rsidR="00705C66" w:rsidRPr="001F67EB" w:rsidRDefault="00705C66" w:rsidP="00705C66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1F67EB">
              <w:rPr>
                <w:b/>
                <w:sz w:val="21"/>
                <w:szCs w:val="21"/>
              </w:rPr>
              <w:t xml:space="preserve">(за докладване в заседание) 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hideMark/>
          </w:tcPr>
          <w:p w:rsidR="00705C66" w:rsidRPr="001F67EB" w:rsidRDefault="00705C66" w:rsidP="00705C66">
            <w:pPr>
              <w:jc w:val="center"/>
              <w:rPr>
                <w:b/>
                <w:sz w:val="21"/>
                <w:szCs w:val="21"/>
              </w:rPr>
            </w:pPr>
            <w:r w:rsidRPr="001F67EB">
              <w:rPr>
                <w:b/>
                <w:sz w:val="21"/>
                <w:szCs w:val="21"/>
              </w:rPr>
              <w:t xml:space="preserve">докладвани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  <w:hideMark/>
          </w:tcPr>
          <w:p w:rsidR="00705C66" w:rsidRPr="001F67EB" w:rsidRDefault="00705C66" w:rsidP="00705C66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1F67EB">
              <w:rPr>
                <w:b/>
                <w:bCs/>
                <w:color w:val="FFFFFF" w:themeColor="background1"/>
                <w:sz w:val="21"/>
                <w:szCs w:val="21"/>
              </w:rPr>
              <w:t xml:space="preserve">решени 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9BBB59"/>
            <w:hideMark/>
          </w:tcPr>
          <w:p w:rsidR="00705C66" w:rsidRPr="001F67EB" w:rsidRDefault="00705C66" w:rsidP="00705C66">
            <w:pPr>
              <w:jc w:val="center"/>
              <w:rPr>
                <w:b/>
                <w:bCs/>
                <w:sz w:val="21"/>
                <w:szCs w:val="21"/>
              </w:rPr>
            </w:pPr>
            <w:r w:rsidRPr="001F67EB">
              <w:rPr>
                <w:b/>
                <w:bCs/>
                <w:sz w:val="21"/>
                <w:szCs w:val="21"/>
              </w:rPr>
              <w:t>Молби с удължен срок за разглеждане</w:t>
            </w:r>
          </w:p>
        </w:tc>
      </w:tr>
      <w:tr w:rsidR="00705C66" w:rsidRPr="001F67EB" w:rsidTr="00047325">
        <w:tc>
          <w:tcPr>
            <w:tcW w:w="282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:rsidR="00705C66" w:rsidRPr="009079B5" w:rsidRDefault="00705C66" w:rsidP="00705C66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XLXX</w:t>
            </w:r>
            <w:r>
              <w:rPr>
                <w:b/>
                <w:bCs/>
                <w:color w:val="FFFFFF"/>
                <w:sz w:val="20"/>
                <w:szCs w:val="20"/>
              </w:rPr>
              <w:t>Х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 xml:space="preserve">XXII, </w:t>
            </w:r>
            <w:r>
              <w:rPr>
                <w:b/>
                <w:bCs/>
                <w:color w:val="FFFFFF"/>
                <w:sz w:val="20"/>
                <w:szCs w:val="20"/>
              </w:rPr>
              <w:t>15.01.2015 г.</w:t>
            </w:r>
          </w:p>
        </w:tc>
        <w:tc>
          <w:tcPr>
            <w:tcW w:w="2170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705C66" w:rsidRDefault="00705C66" w:rsidP="00705C6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705C66" w:rsidRDefault="00705C66" w:rsidP="00705C6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705C66" w:rsidRDefault="00705C66" w:rsidP="00705C66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13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24" w:space="0" w:color="FFFFFF"/>
              <w:bottom w:val="single" w:sz="6" w:space="0" w:color="FFFFFF"/>
              <w:right w:val="nil"/>
            </w:tcBorders>
            <w:shd w:val="clear" w:color="auto" w:fill="4F6228" w:themeFill="accent3" w:themeFillShade="80"/>
          </w:tcPr>
          <w:p w:rsidR="00705C66" w:rsidRDefault="00705C66" w:rsidP="00705C66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705C66" w:rsidRPr="001F67EB" w:rsidTr="00047325">
        <w:tc>
          <w:tcPr>
            <w:tcW w:w="282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:rsidR="00705C66" w:rsidRPr="009079B5" w:rsidRDefault="00705C66" w:rsidP="00705C66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XLXX</w:t>
            </w:r>
            <w:r>
              <w:rPr>
                <w:b/>
                <w:bCs/>
                <w:color w:val="FFFFFF"/>
                <w:sz w:val="20"/>
                <w:szCs w:val="20"/>
              </w:rPr>
              <w:t>Х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 xml:space="preserve">XXIII, </w:t>
            </w:r>
            <w:r>
              <w:rPr>
                <w:b/>
                <w:bCs/>
                <w:color w:val="FFFFFF"/>
                <w:sz w:val="20"/>
                <w:szCs w:val="20"/>
              </w:rPr>
              <w:t>12.0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color w:val="FFFFFF"/>
                <w:sz w:val="20"/>
                <w:szCs w:val="20"/>
              </w:rPr>
              <w:t>.2015 г.</w:t>
            </w:r>
          </w:p>
        </w:tc>
        <w:tc>
          <w:tcPr>
            <w:tcW w:w="2170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705C66" w:rsidRPr="00A4005A" w:rsidRDefault="00705C66" w:rsidP="00705C66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34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705C66" w:rsidRDefault="00705C66" w:rsidP="00705C6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705C66" w:rsidRDefault="00705C66" w:rsidP="00705C66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34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705C66" w:rsidRDefault="00705C66" w:rsidP="00705C66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705C66" w:rsidRPr="001F67EB" w:rsidTr="00047325">
        <w:tc>
          <w:tcPr>
            <w:tcW w:w="282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:rsidR="00705C66" w:rsidRPr="009079B5" w:rsidRDefault="00705C66" w:rsidP="00705C66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XLXX</w:t>
            </w:r>
            <w:r>
              <w:rPr>
                <w:b/>
                <w:bCs/>
                <w:color w:val="FFFFFF"/>
                <w:sz w:val="20"/>
                <w:szCs w:val="20"/>
              </w:rPr>
              <w:t>Х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 xml:space="preserve">XXIV, </w:t>
            </w:r>
            <w:r>
              <w:rPr>
                <w:b/>
                <w:bCs/>
                <w:color w:val="FFFFFF"/>
                <w:sz w:val="20"/>
                <w:szCs w:val="20"/>
              </w:rPr>
              <w:t>19.0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color w:val="FFFFFF"/>
                <w:sz w:val="20"/>
                <w:szCs w:val="20"/>
              </w:rPr>
              <w:t>.2015 г.</w:t>
            </w:r>
          </w:p>
        </w:tc>
        <w:tc>
          <w:tcPr>
            <w:tcW w:w="2170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705C66" w:rsidRPr="00A4005A" w:rsidRDefault="00705C66" w:rsidP="00705C66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  <w:r w:rsidR="007B19B8"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705C66" w:rsidRDefault="00705C66" w:rsidP="00705C6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7B19B8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705C66" w:rsidRDefault="00705C66" w:rsidP="00705C66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2</w:t>
            </w:r>
            <w:r w:rsidR="007B19B8">
              <w:rPr>
                <w:b/>
                <w:bCs/>
                <w:color w:val="FFFFFF" w:themeColor="background1"/>
                <w:sz w:val="21"/>
                <w:szCs w:val="21"/>
              </w:rPr>
              <w:t>5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705C66" w:rsidRDefault="00705C66" w:rsidP="00705C66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705C66" w:rsidRPr="001F67EB" w:rsidTr="00047325">
        <w:tc>
          <w:tcPr>
            <w:tcW w:w="282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:rsidR="00705C66" w:rsidRPr="009079B5" w:rsidRDefault="00705C66" w:rsidP="00705C66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XLXX</w:t>
            </w:r>
            <w:r>
              <w:rPr>
                <w:b/>
                <w:bCs/>
                <w:color w:val="FFFFFF"/>
                <w:sz w:val="20"/>
                <w:szCs w:val="20"/>
              </w:rPr>
              <w:t>Х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 xml:space="preserve">XXV, </w:t>
            </w:r>
            <w:r>
              <w:rPr>
                <w:b/>
                <w:bCs/>
                <w:color w:val="FFFFFF"/>
                <w:sz w:val="20"/>
                <w:szCs w:val="20"/>
              </w:rPr>
              <w:t>5.03.2015 г.</w:t>
            </w:r>
          </w:p>
        </w:tc>
        <w:tc>
          <w:tcPr>
            <w:tcW w:w="2170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</w:tcPr>
          <w:p w:rsidR="00705C66" w:rsidRPr="00A4005A" w:rsidRDefault="00705C66" w:rsidP="00705C66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</w:t>
            </w:r>
            <w:r w:rsidR="007B19B8"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705C66" w:rsidRDefault="00705C66" w:rsidP="00705C66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7B19B8"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705C66" w:rsidRDefault="00705C66" w:rsidP="00705C66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="007B19B8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705C66" w:rsidRDefault="00705C66" w:rsidP="00705C66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737246" w:rsidRPr="001F67EB" w:rsidTr="00737246">
        <w:tc>
          <w:tcPr>
            <w:tcW w:w="282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737246" w:rsidRPr="00047325" w:rsidRDefault="00737246" w:rsidP="00737246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XLXX</w:t>
            </w:r>
            <w:r>
              <w:rPr>
                <w:b/>
                <w:bCs/>
                <w:color w:val="FFFFFF"/>
                <w:sz w:val="20"/>
                <w:szCs w:val="20"/>
              </w:rPr>
              <w:t>Х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 xml:space="preserve">XXVI, </w:t>
            </w:r>
            <w:r>
              <w:rPr>
                <w:b/>
                <w:bCs/>
                <w:color w:val="FFFFFF"/>
                <w:sz w:val="20"/>
                <w:szCs w:val="20"/>
              </w:rPr>
              <w:t>2.04.2015 г.</w:t>
            </w:r>
          </w:p>
        </w:tc>
        <w:tc>
          <w:tcPr>
            <w:tcW w:w="2170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737246" w:rsidRPr="00737246" w:rsidRDefault="00737246" w:rsidP="00737246">
            <w:pPr>
              <w:jc w:val="both"/>
              <w:rPr>
                <w:color w:val="FFFFFF" w:themeColor="background1"/>
                <w:sz w:val="21"/>
                <w:szCs w:val="21"/>
              </w:rPr>
            </w:pPr>
            <w:r w:rsidRPr="00737246">
              <w:rPr>
                <w:color w:val="FFFFFF" w:themeColor="background1"/>
                <w:sz w:val="21"/>
                <w:szCs w:val="21"/>
              </w:rPr>
              <w:t>25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7246" w:rsidRPr="00737246" w:rsidRDefault="00737246" w:rsidP="00737246">
            <w:pPr>
              <w:jc w:val="both"/>
              <w:rPr>
                <w:color w:val="FFFFFF" w:themeColor="background1"/>
                <w:sz w:val="21"/>
                <w:szCs w:val="21"/>
              </w:rPr>
            </w:pPr>
            <w:r w:rsidRPr="00737246">
              <w:rPr>
                <w:color w:val="FFFFFF" w:themeColor="background1"/>
                <w:sz w:val="21"/>
                <w:szCs w:val="21"/>
              </w:rPr>
              <w:t>25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737246" w:rsidRPr="00737246" w:rsidRDefault="00737246" w:rsidP="00737246">
            <w:pPr>
              <w:jc w:val="both"/>
              <w:rPr>
                <w:b/>
                <w:bCs/>
                <w:sz w:val="21"/>
                <w:szCs w:val="21"/>
              </w:rPr>
            </w:pPr>
            <w:r w:rsidRPr="00737246">
              <w:rPr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737246" w:rsidRDefault="00737246" w:rsidP="00737246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737246" w:rsidRPr="001F67EB" w:rsidTr="00737246">
        <w:tc>
          <w:tcPr>
            <w:tcW w:w="282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737246" w:rsidRPr="00047325" w:rsidRDefault="00737246" w:rsidP="00737246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XLXX</w:t>
            </w:r>
            <w:r>
              <w:rPr>
                <w:b/>
                <w:bCs/>
                <w:color w:val="FFFFFF"/>
                <w:sz w:val="20"/>
                <w:szCs w:val="20"/>
              </w:rPr>
              <w:t>Х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XXVII</w:t>
            </w:r>
            <w:r>
              <w:rPr>
                <w:b/>
                <w:bCs/>
                <w:color w:val="FFFFFF"/>
                <w:sz w:val="20"/>
                <w:szCs w:val="20"/>
              </w:rPr>
              <w:t>, 09.04.2015 г.</w:t>
            </w:r>
          </w:p>
        </w:tc>
        <w:tc>
          <w:tcPr>
            <w:tcW w:w="2170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737246" w:rsidRPr="00737246" w:rsidRDefault="00737246" w:rsidP="00737246">
            <w:pPr>
              <w:jc w:val="both"/>
              <w:rPr>
                <w:color w:val="FFFFFF" w:themeColor="background1"/>
                <w:sz w:val="21"/>
                <w:szCs w:val="21"/>
              </w:rPr>
            </w:pPr>
            <w:r w:rsidRPr="00737246">
              <w:rPr>
                <w:color w:val="FFFFFF" w:themeColor="background1"/>
                <w:sz w:val="21"/>
                <w:szCs w:val="21"/>
              </w:rPr>
              <w:t>16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7246" w:rsidRPr="00737246" w:rsidRDefault="00737246" w:rsidP="00737246">
            <w:pPr>
              <w:jc w:val="both"/>
              <w:rPr>
                <w:color w:val="FFFFFF" w:themeColor="background1"/>
                <w:sz w:val="21"/>
                <w:szCs w:val="21"/>
              </w:rPr>
            </w:pPr>
            <w:r w:rsidRPr="00737246">
              <w:rPr>
                <w:color w:val="FFFFFF" w:themeColor="background1"/>
                <w:sz w:val="21"/>
                <w:szCs w:val="21"/>
              </w:rPr>
              <w:t>16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737246" w:rsidRPr="00737246" w:rsidRDefault="00737246" w:rsidP="00737246">
            <w:pPr>
              <w:jc w:val="both"/>
              <w:rPr>
                <w:b/>
                <w:bCs/>
                <w:sz w:val="21"/>
                <w:szCs w:val="21"/>
              </w:rPr>
            </w:pPr>
            <w:r w:rsidRPr="00737246">
              <w:rPr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737246" w:rsidRDefault="00737246" w:rsidP="00737246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737246" w:rsidRPr="001F67EB" w:rsidTr="00737246">
        <w:tc>
          <w:tcPr>
            <w:tcW w:w="282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737246" w:rsidRPr="00047325" w:rsidRDefault="00737246" w:rsidP="00737246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XLXX</w:t>
            </w:r>
            <w:r>
              <w:rPr>
                <w:b/>
                <w:bCs/>
                <w:color w:val="FFFFFF"/>
                <w:sz w:val="20"/>
                <w:szCs w:val="20"/>
              </w:rPr>
              <w:t>Х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XXVIII</w:t>
            </w:r>
            <w:r>
              <w:rPr>
                <w:b/>
                <w:bCs/>
                <w:color w:val="FFFFFF"/>
                <w:sz w:val="20"/>
                <w:szCs w:val="20"/>
              </w:rPr>
              <w:t>, 30.04.2015 г.</w:t>
            </w:r>
          </w:p>
        </w:tc>
        <w:tc>
          <w:tcPr>
            <w:tcW w:w="2170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737246" w:rsidRPr="00737246" w:rsidRDefault="00737246" w:rsidP="00737246">
            <w:pPr>
              <w:jc w:val="both"/>
              <w:rPr>
                <w:color w:val="FFFFFF" w:themeColor="background1"/>
                <w:sz w:val="21"/>
                <w:szCs w:val="21"/>
              </w:rPr>
            </w:pPr>
            <w:r w:rsidRPr="00737246">
              <w:rPr>
                <w:color w:val="FFFFFF" w:themeColor="background1"/>
                <w:sz w:val="21"/>
                <w:szCs w:val="21"/>
              </w:rPr>
              <w:t>11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7246" w:rsidRPr="00737246" w:rsidRDefault="00737246" w:rsidP="00737246">
            <w:pPr>
              <w:jc w:val="both"/>
              <w:rPr>
                <w:color w:val="FFFFFF" w:themeColor="background1"/>
                <w:sz w:val="21"/>
                <w:szCs w:val="21"/>
              </w:rPr>
            </w:pPr>
            <w:r w:rsidRPr="00737246">
              <w:rPr>
                <w:color w:val="FFFFFF" w:themeColor="background1"/>
                <w:sz w:val="21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737246" w:rsidRPr="00737246" w:rsidRDefault="00737246" w:rsidP="00737246">
            <w:pPr>
              <w:jc w:val="both"/>
              <w:rPr>
                <w:b/>
                <w:bCs/>
                <w:sz w:val="21"/>
                <w:szCs w:val="21"/>
              </w:rPr>
            </w:pPr>
            <w:r w:rsidRPr="00737246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737246" w:rsidRDefault="00737246" w:rsidP="00737246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737246" w:rsidRPr="001F67EB" w:rsidTr="00737246">
        <w:tc>
          <w:tcPr>
            <w:tcW w:w="282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737246" w:rsidRPr="00047325" w:rsidRDefault="00737246" w:rsidP="00737246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XLXX</w:t>
            </w:r>
            <w:r>
              <w:rPr>
                <w:b/>
                <w:bCs/>
                <w:color w:val="FFFFFF"/>
                <w:sz w:val="20"/>
                <w:szCs w:val="20"/>
              </w:rPr>
              <w:t>Х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XXIX</w:t>
            </w:r>
            <w:r>
              <w:rPr>
                <w:b/>
                <w:bCs/>
                <w:color w:val="FFFFFF"/>
                <w:sz w:val="20"/>
                <w:szCs w:val="20"/>
              </w:rPr>
              <w:t>, 07.05, 2015 г.</w:t>
            </w:r>
          </w:p>
        </w:tc>
        <w:tc>
          <w:tcPr>
            <w:tcW w:w="2170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737246" w:rsidRPr="00737246" w:rsidRDefault="00737246" w:rsidP="00737246">
            <w:pPr>
              <w:jc w:val="both"/>
              <w:rPr>
                <w:color w:val="FFFFFF" w:themeColor="background1"/>
                <w:sz w:val="21"/>
                <w:szCs w:val="21"/>
              </w:rPr>
            </w:pPr>
            <w:r w:rsidRPr="00737246">
              <w:rPr>
                <w:color w:val="FFFFFF" w:themeColor="background1"/>
                <w:sz w:val="21"/>
                <w:szCs w:val="21"/>
              </w:rPr>
              <w:t>23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7246" w:rsidRPr="00737246" w:rsidRDefault="00737246" w:rsidP="00737246">
            <w:pPr>
              <w:jc w:val="both"/>
              <w:rPr>
                <w:color w:val="FFFFFF" w:themeColor="background1"/>
                <w:sz w:val="21"/>
                <w:szCs w:val="21"/>
              </w:rPr>
            </w:pPr>
            <w:r w:rsidRPr="00737246">
              <w:rPr>
                <w:color w:val="FFFFFF" w:themeColor="background1"/>
                <w:sz w:val="21"/>
                <w:szCs w:val="21"/>
              </w:rPr>
              <w:t>23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737246" w:rsidRPr="00737246" w:rsidRDefault="00C34172" w:rsidP="00737246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737246" w:rsidRDefault="00737246" w:rsidP="00737246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737246" w:rsidRPr="001F67EB" w:rsidTr="00737246">
        <w:tc>
          <w:tcPr>
            <w:tcW w:w="282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737246" w:rsidRPr="00047325" w:rsidRDefault="00737246" w:rsidP="00737246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XLXX</w:t>
            </w:r>
            <w:r>
              <w:rPr>
                <w:b/>
                <w:bCs/>
                <w:color w:val="FFFFFF"/>
                <w:sz w:val="20"/>
                <w:szCs w:val="20"/>
              </w:rPr>
              <w:t>Х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XXX</w:t>
            </w:r>
            <w:r>
              <w:rPr>
                <w:b/>
                <w:bCs/>
                <w:color w:val="FFFFFF"/>
                <w:sz w:val="20"/>
                <w:szCs w:val="20"/>
              </w:rPr>
              <w:t>, 21.05. 2015 г.</w:t>
            </w:r>
          </w:p>
        </w:tc>
        <w:tc>
          <w:tcPr>
            <w:tcW w:w="2170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737246" w:rsidRPr="00737246" w:rsidRDefault="00737246" w:rsidP="00737246">
            <w:pPr>
              <w:jc w:val="both"/>
              <w:rPr>
                <w:color w:val="FFFFFF" w:themeColor="background1"/>
                <w:sz w:val="21"/>
                <w:szCs w:val="21"/>
              </w:rPr>
            </w:pPr>
            <w:r w:rsidRPr="00737246">
              <w:rPr>
                <w:color w:val="FFFFFF" w:themeColor="background1"/>
                <w:sz w:val="21"/>
                <w:szCs w:val="21"/>
              </w:rPr>
              <w:t>2</w:t>
            </w:r>
            <w:r w:rsidR="00C34172">
              <w:rPr>
                <w:color w:val="FFFFFF" w:themeColor="background1"/>
                <w:sz w:val="21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7246" w:rsidRPr="00737246" w:rsidRDefault="00737246" w:rsidP="00737246">
            <w:pPr>
              <w:jc w:val="both"/>
              <w:rPr>
                <w:color w:val="FFFFFF" w:themeColor="background1"/>
                <w:sz w:val="21"/>
                <w:szCs w:val="21"/>
              </w:rPr>
            </w:pPr>
            <w:r w:rsidRPr="00737246">
              <w:rPr>
                <w:color w:val="FFFFFF" w:themeColor="background1"/>
                <w:sz w:val="21"/>
                <w:szCs w:val="21"/>
              </w:rPr>
              <w:t>2</w:t>
            </w:r>
            <w:r w:rsidR="00C34172">
              <w:rPr>
                <w:color w:val="FFFFFF" w:themeColor="background1"/>
                <w:sz w:val="21"/>
                <w:szCs w:val="21"/>
              </w:rPr>
              <w:t>5+ 1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737246" w:rsidRPr="00737246" w:rsidRDefault="00737246" w:rsidP="00737246">
            <w:pPr>
              <w:jc w:val="both"/>
              <w:rPr>
                <w:b/>
                <w:bCs/>
                <w:sz w:val="21"/>
                <w:szCs w:val="21"/>
              </w:rPr>
            </w:pPr>
            <w:r w:rsidRPr="00737246">
              <w:rPr>
                <w:b/>
                <w:bCs/>
                <w:sz w:val="21"/>
                <w:szCs w:val="21"/>
              </w:rPr>
              <w:t>2</w:t>
            </w:r>
            <w:r w:rsidR="00C34172">
              <w:rPr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737246" w:rsidRDefault="00C34172" w:rsidP="00C34172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 молба, с</w:t>
            </w:r>
            <w:r w:rsidRPr="007565E2">
              <w:rPr>
                <w:b/>
                <w:bCs/>
                <w:color w:val="FFFFFF" w:themeColor="background1"/>
                <w:sz w:val="21"/>
                <w:szCs w:val="21"/>
              </w:rPr>
              <w:t>пряна в предходен период</w:t>
            </w: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за изчакване на допълнителна медицинска информация, решена с отказ</w:t>
            </w:r>
          </w:p>
        </w:tc>
      </w:tr>
      <w:tr w:rsidR="00737246" w:rsidRPr="001F67EB" w:rsidTr="00737246">
        <w:tc>
          <w:tcPr>
            <w:tcW w:w="282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737246" w:rsidRPr="00047325" w:rsidRDefault="00737246" w:rsidP="00737246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XLXX</w:t>
            </w:r>
            <w:r>
              <w:rPr>
                <w:b/>
                <w:bCs/>
                <w:color w:val="FFFFFF"/>
                <w:sz w:val="20"/>
                <w:szCs w:val="20"/>
              </w:rPr>
              <w:t>Х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XXXI</w:t>
            </w:r>
            <w:r>
              <w:rPr>
                <w:b/>
                <w:bCs/>
                <w:color w:val="FFFFFF"/>
                <w:sz w:val="20"/>
                <w:szCs w:val="20"/>
              </w:rPr>
              <w:t>, 3.06. 2015 г.</w:t>
            </w:r>
          </w:p>
        </w:tc>
        <w:tc>
          <w:tcPr>
            <w:tcW w:w="2170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737246" w:rsidRPr="00737246" w:rsidRDefault="00737246" w:rsidP="00737246">
            <w:pPr>
              <w:jc w:val="both"/>
              <w:rPr>
                <w:color w:val="FFFFFF" w:themeColor="background1"/>
                <w:sz w:val="21"/>
                <w:szCs w:val="21"/>
              </w:rPr>
            </w:pPr>
            <w:r w:rsidRPr="00737246">
              <w:rPr>
                <w:color w:val="FFFFFF" w:themeColor="background1"/>
                <w:sz w:val="21"/>
                <w:szCs w:val="21"/>
              </w:rPr>
              <w:t>26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7246" w:rsidRPr="00737246" w:rsidRDefault="00737246" w:rsidP="00737246">
            <w:pPr>
              <w:jc w:val="both"/>
              <w:rPr>
                <w:color w:val="FFFFFF" w:themeColor="background1"/>
                <w:sz w:val="21"/>
                <w:szCs w:val="21"/>
              </w:rPr>
            </w:pPr>
            <w:r w:rsidRPr="00737246">
              <w:rPr>
                <w:color w:val="FFFFFF" w:themeColor="background1"/>
                <w:sz w:val="21"/>
                <w:szCs w:val="21"/>
              </w:rPr>
              <w:t>26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737246" w:rsidRPr="00737246" w:rsidRDefault="00737246" w:rsidP="00737246">
            <w:pPr>
              <w:jc w:val="both"/>
              <w:rPr>
                <w:b/>
                <w:bCs/>
                <w:sz w:val="21"/>
                <w:szCs w:val="21"/>
              </w:rPr>
            </w:pPr>
            <w:r w:rsidRPr="00737246">
              <w:rPr>
                <w:b/>
                <w:bCs/>
                <w:sz w:val="21"/>
                <w:szCs w:val="21"/>
              </w:rPr>
              <w:t>26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737246" w:rsidRDefault="00737246" w:rsidP="00737246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737246" w:rsidRPr="001F67EB" w:rsidTr="00737246">
        <w:tc>
          <w:tcPr>
            <w:tcW w:w="282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737246" w:rsidRPr="00047325" w:rsidRDefault="00737246" w:rsidP="00737246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XLXX</w:t>
            </w:r>
            <w:r>
              <w:rPr>
                <w:b/>
                <w:bCs/>
                <w:color w:val="FFFFFF"/>
                <w:sz w:val="20"/>
                <w:szCs w:val="20"/>
              </w:rPr>
              <w:t>Х</w:t>
            </w: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XXXII</w:t>
            </w:r>
            <w:r>
              <w:rPr>
                <w:b/>
                <w:bCs/>
                <w:color w:val="FFFFFF"/>
                <w:sz w:val="20"/>
                <w:szCs w:val="20"/>
              </w:rPr>
              <w:t>, 17.06/2015 г.</w:t>
            </w:r>
          </w:p>
        </w:tc>
        <w:tc>
          <w:tcPr>
            <w:tcW w:w="2170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737246" w:rsidRPr="00737246" w:rsidRDefault="00737246" w:rsidP="00737246">
            <w:pPr>
              <w:jc w:val="both"/>
              <w:rPr>
                <w:color w:val="FFFFFF" w:themeColor="background1"/>
                <w:sz w:val="21"/>
                <w:szCs w:val="21"/>
              </w:rPr>
            </w:pPr>
            <w:r w:rsidRPr="00737246">
              <w:rPr>
                <w:color w:val="FFFFFF" w:themeColor="background1"/>
                <w:sz w:val="21"/>
                <w:szCs w:val="21"/>
              </w:rPr>
              <w:t>14</w:t>
            </w:r>
          </w:p>
        </w:tc>
        <w:tc>
          <w:tcPr>
            <w:tcW w:w="14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7246" w:rsidRPr="00737246" w:rsidRDefault="00737246" w:rsidP="00737246">
            <w:pPr>
              <w:jc w:val="both"/>
              <w:rPr>
                <w:color w:val="FFFFFF" w:themeColor="background1"/>
                <w:sz w:val="21"/>
                <w:szCs w:val="21"/>
              </w:rPr>
            </w:pPr>
            <w:r w:rsidRPr="00737246">
              <w:rPr>
                <w:color w:val="FFFFFF" w:themeColor="background1"/>
                <w:sz w:val="21"/>
                <w:szCs w:val="21"/>
              </w:rPr>
              <w:t>14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737246" w:rsidRPr="00737246" w:rsidRDefault="00737246" w:rsidP="00737246">
            <w:pPr>
              <w:jc w:val="both"/>
              <w:rPr>
                <w:b/>
                <w:bCs/>
                <w:sz w:val="21"/>
                <w:szCs w:val="21"/>
              </w:rPr>
            </w:pPr>
            <w:r w:rsidRPr="00737246">
              <w:rPr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24" w:space="0" w:color="FFFFFF"/>
              <w:right w:val="nil"/>
            </w:tcBorders>
            <w:shd w:val="clear" w:color="auto" w:fill="4F6228" w:themeFill="accent3" w:themeFillShade="80"/>
          </w:tcPr>
          <w:p w:rsidR="00737246" w:rsidRDefault="00737246" w:rsidP="00737246">
            <w:pPr>
              <w:jc w:val="both"/>
              <w:rPr>
                <w:b/>
                <w:bCs/>
                <w:color w:val="FFFFFF"/>
                <w:sz w:val="21"/>
                <w:szCs w:val="21"/>
              </w:rPr>
            </w:pPr>
          </w:p>
        </w:tc>
      </w:tr>
      <w:tr w:rsidR="00737246" w:rsidRPr="001F67EB" w:rsidTr="00047325">
        <w:tc>
          <w:tcPr>
            <w:tcW w:w="282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6228" w:themeFill="accent3" w:themeFillShade="80"/>
            <w:hideMark/>
          </w:tcPr>
          <w:p w:rsidR="00737246" w:rsidRPr="00536A5E" w:rsidRDefault="00737246" w:rsidP="00737246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1F67EB">
              <w:rPr>
                <w:b/>
                <w:bCs/>
                <w:color w:val="FFFFFF" w:themeColor="background1"/>
                <w:sz w:val="21"/>
                <w:szCs w:val="21"/>
              </w:rPr>
              <w:t>ОБЩО</w:t>
            </w:r>
            <w:r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 11 </w:t>
            </w:r>
            <w:r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1"/>
                <w:szCs w:val="21"/>
              </w:rPr>
              <w:t>заседания</w:t>
            </w:r>
          </w:p>
        </w:tc>
        <w:tc>
          <w:tcPr>
            <w:tcW w:w="4721" w:type="dxa"/>
            <w:gridSpan w:val="3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6228" w:themeFill="accent3" w:themeFillShade="80"/>
          </w:tcPr>
          <w:p w:rsidR="00737246" w:rsidRPr="00D72776" w:rsidRDefault="00737246" w:rsidP="00C34172">
            <w:pPr>
              <w:tabs>
                <w:tab w:val="left" w:pos="1903"/>
                <w:tab w:val="center" w:pos="2252"/>
              </w:tabs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color w:val="FFFFFF" w:themeColor="background1"/>
                <w:sz w:val="21"/>
                <w:szCs w:val="21"/>
              </w:rPr>
              <w:tab/>
              <w:t xml:space="preserve">                         </w:t>
            </w:r>
            <w:r>
              <w:rPr>
                <w:color w:val="FFFFFF" w:themeColor="background1"/>
                <w:sz w:val="21"/>
                <w:szCs w:val="21"/>
              </w:rPr>
              <w:tab/>
              <w:t>22</w:t>
            </w:r>
            <w:r w:rsidR="00C34172">
              <w:rPr>
                <w:color w:val="FFFFFF" w:themeColor="background1"/>
                <w:sz w:val="21"/>
                <w:szCs w:val="21"/>
              </w:rPr>
              <w:t>7</w:t>
            </w:r>
            <w:r w:rsidR="0032007A">
              <w:rPr>
                <w:color w:val="FFFFFF" w:themeColor="background1"/>
                <w:sz w:val="21"/>
                <w:szCs w:val="21"/>
              </w:rPr>
              <w:t xml:space="preserve"> </w:t>
            </w:r>
            <w:r w:rsidR="00C34172">
              <w:rPr>
                <w:color w:val="FFFFFF" w:themeColor="background1"/>
                <w:sz w:val="21"/>
                <w:szCs w:val="21"/>
              </w:rPr>
              <w:t xml:space="preserve"> </w:t>
            </w:r>
          </w:p>
        </w:tc>
        <w:tc>
          <w:tcPr>
            <w:tcW w:w="3217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4F6228" w:themeFill="accent3" w:themeFillShade="80"/>
          </w:tcPr>
          <w:p w:rsidR="00737246" w:rsidRPr="007565E2" w:rsidRDefault="00737246" w:rsidP="00737246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</w:tbl>
    <w:p w:rsidR="007565E2" w:rsidRDefault="007565E2" w:rsidP="007565E2">
      <w:pPr>
        <w:ind w:left="359" w:firstLine="709"/>
        <w:jc w:val="center"/>
        <w:rPr>
          <w:rFonts w:asciiTheme="majorHAnsi" w:hAnsiTheme="majorHAnsi"/>
          <w:b/>
        </w:rPr>
      </w:pPr>
    </w:p>
    <w:p w:rsidR="001F67EB" w:rsidRDefault="002A6283" w:rsidP="00705C66">
      <w:pPr>
        <w:ind w:firstLine="67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</w:t>
      </w:r>
      <w:r w:rsidR="001F67EB" w:rsidRPr="00F905F4">
        <w:rPr>
          <w:rFonts w:asciiTheme="majorHAnsi" w:hAnsiTheme="majorHAnsi"/>
          <w:b/>
        </w:rPr>
        <w:t>.1</w:t>
      </w:r>
      <w:r w:rsidR="007B19B8">
        <w:rPr>
          <w:rFonts w:asciiTheme="majorHAnsi" w:hAnsiTheme="majorHAnsi"/>
          <w:b/>
        </w:rPr>
        <w:t>.</w:t>
      </w:r>
      <w:r w:rsidR="001F67EB" w:rsidRPr="00F905F4">
        <w:rPr>
          <w:rFonts w:asciiTheme="majorHAnsi" w:hAnsiTheme="majorHAnsi"/>
          <w:b/>
        </w:rPr>
        <w:t xml:space="preserve"> ПРЕДЛОЖЕНИЯ ЗА ПРЕКРАТЯВАНЕ НА РАЗГЛЕЖДАНЕТО</w:t>
      </w:r>
    </w:p>
    <w:p w:rsidR="00A71F9B" w:rsidRPr="00F905F4" w:rsidRDefault="00A71F9B" w:rsidP="003A1FA3">
      <w:pPr>
        <w:ind w:left="359" w:firstLine="709"/>
        <w:jc w:val="both"/>
        <w:rPr>
          <w:rFonts w:asciiTheme="majorHAnsi" w:hAnsiTheme="majorHAnsi"/>
          <w:b/>
        </w:rPr>
      </w:pPr>
    </w:p>
    <w:p w:rsidR="008D78B1" w:rsidRDefault="00FD685C" w:rsidP="001F67EB">
      <w:pPr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През второто тримесечие на 2015 г. </w:t>
      </w:r>
      <w:r w:rsidR="001F67EB" w:rsidRPr="00F905F4">
        <w:rPr>
          <w:rFonts w:asciiTheme="majorHAnsi" w:hAnsiTheme="majorHAnsi"/>
        </w:rPr>
        <w:t xml:space="preserve">Комисията се е произнесла с </w:t>
      </w:r>
      <w:r w:rsidR="001F67EB" w:rsidRPr="00F905F4">
        <w:rPr>
          <w:rFonts w:asciiTheme="majorHAnsi" w:hAnsiTheme="majorHAnsi"/>
          <w:b/>
        </w:rPr>
        <w:t>предложение за прекратяване</w:t>
      </w:r>
      <w:r w:rsidR="001F67EB" w:rsidRPr="00F905F4">
        <w:rPr>
          <w:rFonts w:asciiTheme="majorHAnsi" w:hAnsiTheme="majorHAnsi"/>
        </w:rPr>
        <w:t xml:space="preserve"> на разглеждането на </w:t>
      </w:r>
      <w:r w:rsidRPr="00F70525">
        <w:rPr>
          <w:rFonts w:asciiTheme="majorHAnsi" w:hAnsiTheme="majorHAnsi"/>
          <w:b/>
          <w:lang w:val="en-US"/>
        </w:rPr>
        <w:t>1</w:t>
      </w:r>
      <w:r w:rsidRPr="00F70525">
        <w:rPr>
          <w:rFonts w:asciiTheme="majorHAnsi" w:hAnsiTheme="majorHAnsi"/>
          <w:b/>
        </w:rPr>
        <w:t>4</w:t>
      </w:r>
      <w:r w:rsidR="000F0C79" w:rsidRPr="00F70525">
        <w:rPr>
          <w:rFonts w:asciiTheme="majorHAnsi" w:hAnsiTheme="majorHAnsi"/>
          <w:b/>
          <w:lang w:val="en-US"/>
        </w:rPr>
        <w:t xml:space="preserve"> </w:t>
      </w:r>
      <w:r w:rsidR="001F67EB" w:rsidRPr="00F70525">
        <w:rPr>
          <w:rFonts w:asciiTheme="majorHAnsi" w:hAnsiTheme="majorHAnsi"/>
          <w:b/>
        </w:rPr>
        <w:t>молби</w:t>
      </w:r>
      <w:r w:rsidR="001F67EB" w:rsidRPr="00F905F4">
        <w:rPr>
          <w:rFonts w:asciiTheme="majorHAnsi" w:hAnsiTheme="majorHAnsi"/>
        </w:rPr>
        <w:t>, при които е установила</w:t>
      </w:r>
      <w:r w:rsidR="002A6283">
        <w:rPr>
          <w:rFonts w:asciiTheme="majorHAnsi" w:hAnsiTheme="majorHAnsi"/>
        </w:rPr>
        <w:t>, че</w:t>
      </w:r>
      <w:r w:rsidR="001E06B7" w:rsidRPr="00F905F4">
        <w:rPr>
          <w:rFonts w:asciiTheme="majorHAnsi" w:hAnsiTheme="majorHAnsi"/>
        </w:rPr>
        <w:t xml:space="preserve"> </w:t>
      </w:r>
      <w:r w:rsidR="001F67EB" w:rsidRPr="00F905F4">
        <w:rPr>
          <w:rFonts w:asciiTheme="majorHAnsi" w:hAnsiTheme="majorHAnsi"/>
        </w:rPr>
        <w:t>молбата</w:t>
      </w:r>
      <w:r w:rsidR="001E06B7" w:rsidRPr="00F905F4">
        <w:rPr>
          <w:rFonts w:asciiTheme="majorHAnsi" w:hAnsiTheme="majorHAnsi"/>
        </w:rPr>
        <w:t xml:space="preserve"> е подадена след скорошно произнасяне на Вицепрезидента с отказ от помилване и по случая не са настъпили нови обстоятелства, които да налагат новото му разглеждане по същество</w:t>
      </w:r>
      <w:r w:rsidR="00565284">
        <w:rPr>
          <w:rFonts w:asciiTheme="majorHAnsi" w:hAnsiTheme="majorHAnsi"/>
        </w:rPr>
        <w:t xml:space="preserve">. </w:t>
      </w:r>
    </w:p>
    <w:p w:rsidR="00FD685C" w:rsidRPr="00F56105" w:rsidRDefault="00FD685C" w:rsidP="00FD685C">
      <w:pPr>
        <w:ind w:firstLine="709"/>
        <w:jc w:val="both"/>
        <w:rPr>
          <w:rFonts w:asciiTheme="majorHAnsi" w:hAnsiTheme="majorHAnsi"/>
        </w:rPr>
      </w:pPr>
      <w:r w:rsidRPr="00F56105">
        <w:rPr>
          <w:rFonts w:asciiTheme="majorHAnsi" w:hAnsiTheme="majorHAnsi"/>
        </w:rPr>
        <w:t xml:space="preserve">Една молба е прекратена, тъй като </w:t>
      </w:r>
      <w:r w:rsidRPr="00F70525">
        <w:rPr>
          <w:rFonts w:asciiTheme="majorHAnsi" w:hAnsiTheme="majorHAnsi"/>
          <w:b/>
        </w:rPr>
        <w:t>молителят я е оттеглил преди да бъде разгледана</w:t>
      </w:r>
      <w:r w:rsidRPr="00F56105">
        <w:rPr>
          <w:rFonts w:asciiTheme="majorHAnsi" w:hAnsiTheme="majorHAnsi"/>
        </w:rPr>
        <w:t xml:space="preserve"> и решена. </w:t>
      </w:r>
      <w:r w:rsidR="00F56105">
        <w:rPr>
          <w:rFonts w:asciiTheme="majorHAnsi" w:hAnsiTheme="majorHAnsi"/>
        </w:rPr>
        <w:t>Основанието за оттеглянето е отпадане обстоятелствата, които молителят е изтъкнал като мотиви да търси помилване.</w:t>
      </w:r>
    </w:p>
    <w:p w:rsidR="000F156B" w:rsidRPr="00F56105" w:rsidRDefault="00FD685C" w:rsidP="001F67EB">
      <w:pPr>
        <w:ind w:firstLine="709"/>
        <w:jc w:val="both"/>
        <w:rPr>
          <w:rFonts w:asciiTheme="majorHAnsi" w:hAnsiTheme="majorHAnsi"/>
        </w:rPr>
      </w:pPr>
      <w:r w:rsidRPr="00F56105">
        <w:rPr>
          <w:rFonts w:asciiTheme="majorHAnsi" w:hAnsiTheme="majorHAnsi"/>
        </w:rPr>
        <w:t xml:space="preserve">Една молба, подадена от адвокат на осъденото лице, е прекратена, тъй като </w:t>
      </w:r>
      <w:r w:rsidRPr="00F70525">
        <w:rPr>
          <w:rFonts w:asciiTheme="majorHAnsi" w:hAnsiTheme="majorHAnsi"/>
          <w:b/>
        </w:rPr>
        <w:t>не съдържа информация от основно значение за разглеждането й</w:t>
      </w:r>
      <w:r w:rsidRPr="00F56105">
        <w:rPr>
          <w:rFonts w:asciiTheme="majorHAnsi" w:hAnsiTheme="majorHAnsi"/>
        </w:rPr>
        <w:t xml:space="preserve"> – вид на престъплението, за което лицето евентуално е осъдено, наказанието, което му е наложено, информация за съдебния акт и производство, обстоятелства по случая, причини за искане на помилване, вкл. данни дали лицето се намира в страната. Тази информация не е предоставена на Комисията, след като е изрично изискана и за предоставянето й е определен срок, поради което Комисията е прекратила разглеждането на случая.</w:t>
      </w:r>
    </w:p>
    <w:p w:rsidR="000F156B" w:rsidRDefault="000F156B" w:rsidP="001F67EB">
      <w:pPr>
        <w:ind w:firstLine="709"/>
        <w:jc w:val="both"/>
        <w:rPr>
          <w:rFonts w:asciiTheme="majorHAnsi" w:hAnsiTheme="majorHAnsi"/>
        </w:rPr>
      </w:pPr>
    </w:p>
    <w:p w:rsidR="001F67EB" w:rsidRPr="007565E2" w:rsidRDefault="007565E2" w:rsidP="007565E2">
      <w:pPr>
        <w:pStyle w:val="ListParagraph"/>
        <w:ind w:left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1.2. </w:t>
      </w:r>
      <w:r w:rsidR="001F67EB" w:rsidRPr="007565E2">
        <w:rPr>
          <w:rFonts w:asciiTheme="majorHAnsi" w:hAnsiTheme="majorHAnsi"/>
          <w:b/>
        </w:rPr>
        <w:t>ПРЕДЛОЖЕНИЯ ЗА ОТКАЗ ОТ УПРАЖНЯВАНЕ НА ПРАВОТО НА ПОМИЛВАНЕ</w:t>
      </w:r>
    </w:p>
    <w:p w:rsidR="00134504" w:rsidRDefault="00134504" w:rsidP="00134504">
      <w:pPr>
        <w:pStyle w:val="ListParagraph"/>
        <w:ind w:left="1428"/>
        <w:jc w:val="both"/>
        <w:rPr>
          <w:rFonts w:asciiTheme="majorHAnsi" w:hAnsiTheme="majorHAnsi"/>
          <w:b/>
        </w:rPr>
      </w:pPr>
    </w:p>
    <w:p w:rsidR="009C3004" w:rsidRDefault="00F70525" w:rsidP="005F6CDF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Няма</w:t>
      </w:r>
      <w:r w:rsidR="002A6283">
        <w:rPr>
          <w:rFonts w:asciiTheme="majorHAnsi" w:hAnsiTheme="majorHAnsi" w:cs="Arial"/>
        </w:rPr>
        <w:t xml:space="preserve"> промяна в</w:t>
      </w:r>
      <w:r w:rsidR="009C3004">
        <w:rPr>
          <w:rFonts w:asciiTheme="majorHAnsi" w:hAnsiTheme="majorHAnsi" w:cs="Arial"/>
        </w:rPr>
        <w:t xml:space="preserve"> практиката на Комисията по отношение </w:t>
      </w:r>
      <w:r>
        <w:rPr>
          <w:rFonts w:asciiTheme="majorHAnsi" w:hAnsiTheme="majorHAnsi" w:cs="Arial"/>
        </w:rPr>
        <w:t xml:space="preserve">на </w:t>
      </w:r>
      <w:r w:rsidR="009C3004">
        <w:rPr>
          <w:rFonts w:asciiTheme="majorHAnsi" w:hAnsiTheme="majorHAnsi" w:cs="Arial"/>
        </w:rPr>
        <w:t xml:space="preserve">приложното поле на помилването и основанията за отказ. </w:t>
      </w:r>
    </w:p>
    <w:p w:rsidR="00010E90" w:rsidRDefault="005F6CDF" w:rsidP="005F6CDF">
      <w:pPr>
        <w:ind w:firstLine="708"/>
        <w:jc w:val="both"/>
        <w:rPr>
          <w:rFonts w:asciiTheme="majorHAnsi" w:hAnsiTheme="majorHAnsi" w:cs="Arial"/>
        </w:rPr>
      </w:pPr>
      <w:r w:rsidRPr="00F905F4">
        <w:rPr>
          <w:rFonts w:asciiTheme="majorHAnsi" w:hAnsiTheme="majorHAnsi" w:cs="Arial"/>
        </w:rPr>
        <w:t>В случаи</w:t>
      </w:r>
      <w:r w:rsidR="00880DB2" w:rsidRPr="00F905F4">
        <w:rPr>
          <w:rFonts w:asciiTheme="majorHAnsi" w:hAnsiTheme="majorHAnsi" w:cs="Arial"/>
        </w:rPr>
        <w:t>те</w:t>
      </w:r>
      <w:r w:rsidRPr="00F905F4">
        <w:rPr>
          <w:rFonts w:asciiTheme="majorHAnsi" w:hAnsiTheme="majorHAnsi" w:cs="Arial"/>
        </w:rPr>
        <w:t xml:space="preserve">, по които Комисията се е произнесла с предложение за отказ от помилване, </w:t>
      </w:r>
      <w:r w:rsidR="00880DB2" w:rsidRPr="00F905F4">
        <w:rPr>
          <w:rFonts w:asciiTheme="majorHAnsi" w:hAnsiTheme="majorHAnsi" w:cs="Arial"/>
        </w:rPr>
        <w:t xml:space="preserve">тя </w:t>
      </w:r>
      <w:r w:rsidRPr="00F905F4">
        <w:rPr>
          <w:rFonts w:asciiTheme="majorHAnsi" w:hAnsiTheme="majorHAnsi" w:cs="Arial"/>
        </w:rPr>
        <w:t xml:space="preserve">е достигнала до заключението, че помилването би представлявало омаловажаване на тежестта на извършеното и пренебрегване на опасността, която осъденият продължава да представлява за обществото, като действащата наказателна и наказателно-изпълнителна </w:t>
      </w:r>
      <w:r w:rsidRPr="00F905F4">
        <w:rPr>
          <w:rFonts w:asciiTheme="majorHAnsi" w:hAnsiTheme="majorHAnsi" w:cs="Arial"/>
        </w:rPr>
        <w:lastRenderedPageBreak/>
        <w:t>система съдържа</w:t>
      </w:r>
      <w:r w:rsidR="00F70525">
        <w:rPr>
          <w:rFonts w:asciiTheme="majorHAnsi" w:hAnsiTheme="majorHAnsi" w:cs="Arial"/>
        </w:rPr>
        <w:t>т</w:t>
      </w:r>
      <w:r w:rsidRPr="00F905F4">
        <w:rPr>
          <w:rFonts w:asciiTheme="majorHAnsi" w:hAnsiTheme="majorHAnsi" w:cs="Arial"/>
        </w:rPr>
        <w:t xml:space="preserve"> множество средства за облекчаване на репресията, от които осъденият може </w:t>
      </w:r>
      <w:r w:rsidR="004B314D">
        <w:rPr>
          <w:noProof/>
        </w:rPr>
        <w:drawing>
          <wp:anchor distT="0" distB="0" distL="114300" distR="114300" simplePos="0" relativeHeight="251658240" behindDoc="1" locked="0" layoutInCell="1" allowOverlap="1" wp14:anchorId="32993D4C" wp14:editId="3BD16660">
            <wp:simplePos x="0" y="0"/>
            <wp:positionH relativeFrom="column">
              <wp:posOffset>-27457</wp:posOffset>
            </wp:positionH>
            <wp:positionV relativeFrom="paragraph">
              <wp:posOffset>105799</wp:posOffset>
            </wp:positionV>
            <wp:extent cx="3773606" cy="2571750"/>
            <wp:effectExtent l="0" t="0" r="0" b="0"/>
            <wp:wrapTight wrapText="bothSides">
              <wp:wrapPolygon edited="0">
                <wp:start x="0" y="0"/>
                <wp:lineTo x="0" y="21440"/>
                <wp:lineTo x="21484" y="21440"/>
                <wp:lineTo x="21484" y="0"/>
                <wp:lineTo x="0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Pr="00F905F4">
        <w:rPr>
          <w:rFonts w:asciiTheme="majorHAnsi" w:hAnsiTheme="majorHAnsi" w:cs="Arial"/>
        </w:rPr>
        <w:t>да се ползва.</w:t>
      </w:r>
      <w:r w:rsidR="00010E90" w:rsidRPr="00F905F4">
        <w:rPr>
          <w:rFonts w:asciiTheme="majorHAnsi" w:hAnsiTheme="majorHAnsi" w:cs="Arial"/>
        </w:rPr>
        <w:t xml:space="preserve"> Не са установени изключителни обстоятелства, които да правят изтърпяването на наказанието през остатъка му прекомерно или нецелесъобразно. Когато твърдените от молителя хуманитарни обстоятелства са били </w:t>
      </w:r>
      <w:r w:rsidR="009C3004">
        <w:rPr>
          <w:rFonts w:asciiTheme="majorHAnsi" w:hAnsiTheme="majorHAnsi" w:cs="Arial"/>
        </w:rPr>
        <w:t>потвърдени</w:t>
      </w:r>
      <w:r w:rsidR="00010E90" w:rsidRPr="00F905F4">
        <w:rPr>
          <w:rFonts w:asciiTheme="majorHAnsi" w:hAnsiTheme="majorHAnsi" w:cs="Arial"/>
        </w:rPr>
        <w:t xml:space="preserve">, </w:t>
      </w:r>
      <w:r w:rsidR="009C3004">
        <w:rPr>
          <w:rFonts w:asciiTheme="majorHAnsi" w:hAnsiTheme="majorHAnsi" w:cs="Arial"/>
        </w:rPr>
        <w:t xml:space="preserve">Комисията е установила, че </w:t>
      </w:r>
      <w:r w:rsidR="00010E90" w:rsidRPr="00F905F4">
        <w:rPr>
          <w:rFonts w:asciiTheme="majorHAnsi" w:hAnsiTheme="majorHAnsi" w:cs="Arial"/>
        </w:rPr>
        <w:t>същите са били отчетени и от съда при определяне на наказанието, като то е било намалено поради тях. Комисията не е намерила основания за допълнителна проява на снизхождение.</w:t>
      </w:r>
    </w:p>
    <w:p w:rsidR="00DA7B91" w:rsidRDefault="00F70525" w:rsidP="005F6CDF">
      <w:pPr>
        <w:ind w:firstLine="708"/>
        <w:jc w:val="both"/>
        <w:rPr>
          <w:rFonts w:asciiTheme="majorHAnsi" w:hAnsiTheme="majorHAnsi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5DBF8B" wp14:editId="5E89EC2B">
            <wp:simplePos x="0" y="0"/>
            <wp:positionH relativeFrom="margin">
              <wp:align>center</wp:align>
            </wp:positionH>
            <wp:positionV relativeFrom="paragraph">
              <wp:posOffset>1115856</wp:posOffset>
            </wp:positionV>
            <wp:extent cx="7028180" cy="3063875"/>
            <wp:effectExtent l="0" t="0" r="1270" b="3175"/>
            <wp:wrapTight wrapText="bothSides">
              <wp:wrapPolygon edited="0">
                <wp:start x="0" y="0"/>
                <wp:lineTo x="0" y="21488"/>
                <wp:lineTo x="21545" y="21488"/>
                <wp:lineTo x="21545" y="0"/>
                <wp:lineTo x="0" y="0"/>
              </wp:wrapPolygon>
            </wp:wrapTight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B91">
        <w:rPr>
          <w:rFonts w:asciiTheme="majorHAnsi" w:hAnsiTheme="majorHAnsi" w:cs="Arial"/>
        </w:rPr>
        <w:t>П</w:t>
      </w:r>
      <w:r w:rsidR="000F156B">
        <w:rPr>
          <w:rFonts w:asciiTheme="majorHAnsi" w:hAnsiTheme="majorHAnsi" w:cs="Arial"/>
        </w:rPr>
        <w:t xml:space="preserve">рез </w:t>
      </w:r>
      <w:r w:rsidR="00691D39">
        <w:rPr>
          <w:rFonts w:asciiTheme="majorHAnsi" w:hAnsiTheme="majorHAnsi" w:cs="Arial"/>
        </w:rPr>
        <w:t xml:space="preserve">този </w:t>
      </w:r>
      <w:r w:rsidR="000F156B">
        <w:rPr>
          <w:rFonts w:asciiTheme="majorHAnsi" w:hAnsiTheme="majorHAnsi" w:cs="Arial"/>
        </w:rPr>
        <w:t>отчет</w:t>
      </w:r>
      <w:r w:rsidR="00691D39">
        <w:rPr>
          <w:rFonts w:asciiTheme="majorHAnsi" w:hAnsiTheme="majorHAnsi" w:cs="Arial"/>
        </w:rPr>
        <w:t>е</w:t>
      </w:r>
      <w:r w:rsidR="000F156B">
        <w:rPr>
          <w:rFonts w:asciiTheme="majorHAnsi" w:hAnsiTheme="majorHAnsi" w:cs="Arial"/>
        </w:rPr>
        <w:t xml:space="preserve">н период </w:t>
      </w:r>
      <w:r w:rsidR="00DA7B91">
        <w:rPr>
          <w:rFonts w:asciiTheme="majorHAnsi" w:hAnsiTheme="majorHAnsi" w:cs="Arial"/>
        </w:rPr>
        <w:t>около 1/3 от молителите (35 %) са подали молби, твърденията в които са били опровергани от установените по преписката факти (,,недоказани молби“).</w:t>
      </w:r>
      <w:bookmarkStart w:id="0" w:name="_GoBack"/>
      <w:bookmarkEnd w:id="0"/>
    </w:p>
    <w:p w:rsidR="00F70525" w:rsidRDefault="00DA7B91" w:rsidP="005F6CDF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О</w:t>
      </w:r>
      <w:r w:rsidR="00691D39">
        <w:rPr>
          <w:rFonts w:asciiTheme="majorHAnsi" w:hAnsiTheme="majorHAnsi" w:cs="Arial"/>
        </w:rPr>
        <w:t>сновните мотиви</w:t>
      </w:r>
      <w:r w:rsidR="00F70525">
        <w:rPr>
          <w:rFonts w:asciiTheme="majorHAnsi" w:hAnsiTheme="majorHAnsi" w:cs="Arial"/>
        </w:rPr>
        <w:t>, свързани с хуманитарни обстоятелства, касаят</w:t>
      </w:r>
      <w:r w:rsidR="00691D39">
        <w:rPr>
          <w:rFonts w:asciiTheme="majorHAnsi" w:hAnsiTheme="majorHAnsi" w:cs="Arial"/>
        </w:rPr>
        <w:t xml:space="preserve"> здраве</w:t>
      </w:r>
      <w:r w:rsidR="00F70525">
        <w:rPr>
          <w:rFonts w:asciiTheme="majorHAnsi" w:hAnsiTheme="majorHAnsi" w:cs="Arial"/>
        </w:rPr>
        <w:t>то</w:t>
      </w:r>
      <w:r w:rsidR="00691D39">
        <w:rPr>
          <w:rFonts w:asciiTheme="majorHAnsi" w:hAnsiTheme="majorHAnsi" w:cs="Arial"/>
        </w:rPr>
        <w:t xml:space="preserve"> на осъдения</w:t>
      </w:r>
      <w:r w:rsidR="000F156B">
        <w:rPr>
          <w:rFonts w:asciiTheme="majorHAnsi" w:hAnsiTheme="majorHAnsi" w:cs="Arial"/>
        </w:rPr>
        <w:t>.</w:t>
      </w:r>
      <w:r w:rsidR="00691D39">
        <w:rPr>
          <w:rFonts w:asciiTheme="majorHAnsi" w:hAnsiTheme="majorHAnsi" w:cs="Arial"/>
        </w:rPr>
        <w:t xml:space="preserve"> От общо 87 осъдени, за чието здравословно състояние се твърди, че не е съвместимо с лишаване от свобода, Комисията е установила, че 61 са клинично здрави без никакви здравни проблеми, а 23 страдат от хронично заболяване, което обуславя вре</w:t>
      </w:r>
      <w:r w:rsidR="00D96CCE">
        <w:rPr>
          <w:rFonts w:asciiTheme="majorHAnsi" w:hAnsiTheme="majorHAnsi" w:cs="Arial"/>
        </w:rPr>
        <w:t>менна нетрудоспос</w:t>
      </w:r>
      <w:r w:rsidR="00B630E3">
        <w:rPr>
          <w:rFonts w:asciiTheme="majorHAnsi" w:hAnsiTheme="majorHAnsi" w:cs="Arial"/>
        </w:rPr>
        <w:t>обност под 80%. С</w:t>
      </w:r>
      <w:r w:rsidR="00D96CCE">
        <w:rPr>
          <w:rFonts w:asciiTheme="majorHAnsi" w:hAnsiTheme="majorHAnsi" w:cs="Arial"/>
        </w:rPr>
        <w:t>поред здравни</w:t>
      </w:r>
      <w:r w:rsidR="00B630E3">
        <w:rPr>
          <w:rFonts w:asciiTheme="majorHAnsi" w:hAnsiTheme="majorHAnsi" w:cs="Arial"/>
        </w:rPr>
        <w:t xml:space="preserve"> експерти т</w:t>
      </w:r>
      <w:r w:rsidR="00691D39">
        <w:rPr>
          <w:rFonts w:asciiTheme="majorHAnsi" w:hAnsiTheme="majorHAnsi" w:cs="Arial"/>
        </w:rPr>
        <w:t xml:space="preserve">ова състояние не е тежко, а молителят получава адекватно лечение в затворнически условия. </w:t>
      </w:r>
    </w:p>
    <w:p w:rsidR="000F156B" w:rsidRDefault="00691D39" w:rsidP="005F6CDF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В два случая е установено хронично заболяване, обусловило пълна нетрудоспособност, и в един случай – заболяване с постоянен режим на легло и без възможност за самообслужване,</w:t>
      </w:r>
      <w:r w:rsidR="00F70525">
        <w:rPr>
          <w:rFonts w:asciiTheme="majorHAnsi" w:hAnsiTheme="majorHAnsi" w:cs="Arial"/>
        </w:rPr>
        <w:t xml:space="preserve"> поради което молителят </w:t>
      </w:r>
      <w:r>
        <w:rPr>
          <w:rFonts w:asciiTheme="majorHAnsi" w:hAnsiTheme="majorHAnsi" w:cs="Arial"/>
        </w:rPr>
        <w:t>се намира извъ</w:t>
      </w:r>
      <w:r w:rsidR="00B630E3">
        <w:rPr>
          <w:rFonts w:asciiTheme="majorHAnsi" w:hAnsiTheme="majorHAnsi" w:cs="Arial"/>
        </w:rPr>
        <w:t>н затвора. В тези случаи</w:t>
      </w:r>
      <w:r>
        <w:rPr>
          <w:rFonts w:asciiTheme="majorHAnsi" w:hAnsiTheme="majorHAnsi" w:cs="Arial"/>
        </w:rPr>
        <w:t xml:space="preserve"> се прилагат институтите на прекъсване на изтърпяването на наказанието за лечение, а когато състоянието е съвместимо с изтърпяване на наказанието, </w:t>
      </w:r>
      <w:r w:rsidR="00B630E3">
        <w:rPr>
          <w:rFonts w:asciiTheme="majorHAnsi" w:hAnsiTheme="majorHAnsi" w:cs="Arial"/>
        </w:rPr>
        <w:t xml:space="preserve">според администрацията </w:t>
      </w:r>
      <w:r>
        <w:rPr>
          <w:rFonts w:asciiTheme="majorHAnsi" w:hAnsiTheme="majorHAnsi" w:cs="Arial"/>
        </w:rPr>
        <w:t xml:space="preserve">осъденият </w:t>
      </w:r>
      <w:r w:rsidR="00B630E3">
        <w:rPr>
          <w:rFonts w:asciiTheme="majorHAnsi" w:hAnsiTheme="majorHAnsi" w:cs="Arial"/>
        </w:rPr>
        <w:t>се настанява</w:t>
      </w:r>
      <w:r>
        <w:rPr>
          <w:rFonts w:asciiTheme="majorHAnsi" w:hAnsiTheme="majorHAnsi" w:cs="Arial"/>
        </w:rPr>
        <w:t xml:space="preserve"> при съобразени с леч</w:t>
      </w:r>
      <w:r w:rsidR="00B630E3">
        <w:rPr>
          <w:rFonts w:asciiTheme="majorHAnsi" w:hAnsiTheme="majorHAnsi" w:cs="Arial"/>
        </w:rPr>
        <w:t>ението му условия, под лекарско наблюдение</w:t>
      </w:r>
      <w:r>
        <w:rPr>
          <w:rFonts w:asciiTheme="majorHAnsi" w:hAnsiTheme="majorHAnsi" w:cs="Arial"/>
        </w:rPr>
        <w:t xml:space="preserve">. </w:t>
      </w:r>
    </w:p>
    <w:p w:rsidR="00A67173" w:rsidRDefault="009C3004" w:rsidP="009C3004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>При молителите с устойчив</w:t>
      </w:r>
      <w:r w:rsidR="00D2695F">
        <w:rPr>
          <w:rFonts w:asciiTheme="majorHAnsi" w:hAnsiTheme="majorHAnsi" w:cs="Arial"/>
        </w:rPr>
        <w:t xml:space="preserve"> (47%</w:t>
      </w:r>
      <w:r w:rsidR="00F70525">
        <w:rPr>
          <w:rFonts w:asciiTheme="majorHAnsi" w:hAnsiTheme="majorHAnsi" w:cs="Arial"/>
        </w:rPr>
        <w:t xml:space="preserve"> от осъдените</w:t>
      </w:r>
      <w:r w:rsidR="00D2695F">
        <w:rPr>
          <w:rFonts w:asciiTheme="majorHAnsi" w:hAnsiTheme="majorHAnsi" w:cs="Arial"/>
        </w:rPr>
        <w:t>)</w:t>
      </w:r>
      <w:r>
        <w:rPr>
          <w:rFonts w:asciiTheme="majorHAnsi" w:hAnsiTheme="majorHAnsi" w:cs="Arial"/>
        </w:rPr>
        <w:t xml:space="preserve"> или ескалиращ </w:t>
      </w:r>
      <w:r w:rsidR="00D2695F">
        <w:rPr>
          <w:rFonts w:asciiTheme="majorHAnsi" w:hAnsiTheme="majorHAnsi" w:cs="Arial"/>
        </w:rPr>
        <w:t>(17%</w:t>
      </w:r>
      <w:r w:rsidR="00F70525">
        <w:rPr>
          <w:rFonts w:asciiTheme="majorHAnsi" w:hAnsiTheme="majorHAnsi" w:cs="Arial"/>
        </w:rPr>
        <w:t xml:space="preserve"> от осъдените</w:t>
      </w:r>
      <w:r w:rsidR="00D2695F">
        <w:rPr>
          <w:rFonts w:asciiTheme="majorHAnsi" w:hAnsiTheme="majorHAnsi" w:cs="Arial"/>
        </w:rPr>
        <w:t xml:space="preserve">) </w:t>
      </w:r>
      <w:r>
        <w:rPr>
          <w:rFonts w:asciiTheme="majorHAnsi" w:hAnsiTheme="majorHAnsi" w:cs="Arial"/>
        </w:rPr>
        <w:t>престъпен модел Комисията е установила, че</w:t>
      </w:r>
      <w:r w:rsidR="005F6CDF" w:rsidRPr="00F905F4">
        <w:rPr>
          <w:rFonts w:asciiTheme="majorHAnsi" w:hAnsiTheme="majorHAnsi"/>
        </w:rPr>
        <w:t xml:space="preserve"> н</w:t>
      </w:r>
      <w:r w:rsidR="005F6CDF" w:rsidRPr="00F905F4">
        <w:rPr>
          <w:rFonts w:asciiTheme="majorHAnsi" w:hAnsiTheme="majorHAnsi" w:cs="Arial"/>
        </w:rPr>
        <w:t>агласите, довели до извършване на престъплението, са съхранени</w:t>
      </w:r>
      <w:r>
        <w:rPr>
          <w:rFonts w:asciiTheme="majorHAnsi" w:hAnsiTheme="majorHAnsi" w:cs="Arial"/>
        </w:rPr>
        <w:t xml:space="preserve">, при отказ на </w:t>
      </w:r>
      <w:r w:rsidR="000F156B">
        <w:rPr>
          <w:rFonts w:asciiTheme="majorHAnsi" w:hAnsiTheme="majorHAnsi" w:cs="Arial"/>
        </w:rPr>
        <w:t>съответния молител</w:t>
      </w:r>
      <w:r>
        <w:rPr>
          <w:rFonts w:asciiTheme="majorHAnsi" w:hAnsiTheme="majorHAnsi" w:cs="Arial"/>
        </w:rPr>
        <w:t xml:space="preserve"> </w:t>
      </w:r>
      <w:r w:rsidR="000F156B">
        <w:rPr>
          <w:rFonts w:asciiTheme="majorHAnsi" w:hAnsiTheme="majorHAnsi" w:cs="Arial"/>
        </w:rPr>
        <w:t xml:space="preserve">да се разграничи от извършеното </w:t>
      </w:r>
      <w:r>
        <w:rPr>
          <w:rFonts w:asciiTheme="majorHAnsi" w:hAnsiTheme="majorHAnsi" w:cs="Arial"/>
        </w:rPr>
        <w:t xml:space="preserve">или липса на ресурси и мотивация </w:t>
      </w:r>
      <w:r w:rsidR="000F156B">
        <w:rPr>
          <w:rFonts w:asciiTheme="majorHAnsi" w:hAnsiTheme="majorHAnsi" w:cs="Arial"/>
        </w:rPr>
        <w:t xml:space="preserve">у него </w:t>
      </w:r>
      <w:r>
        <w:rPr>
          <w:rFonts w:asciiTheme="majorHAnsi" w:hAnsiTheme="majorHAnsi" w:cs="Arial"/>
        </w:rPr>
        <w:t>за тяхната промяна</w:t>
      </w:r>
      <w:r w:rsidR="005F6CDF" w:rsidRPr="00F905F4">
        <w:rPr>
          <w:rFonts w:asciiTheme="majorHAnsi" w:hAnsiTheme="majorHAnsi" w:cs="Arial"/>
        </w:rPr>
        <w:t xml:space="preserve">. </w:t>
      </w:r>
      <w:r w:rsidR="009A01ED">
        <w:rPr>
          <w:rFonts w:asciiTheme="majorHAnsi" w:hAnsiTheme="majorHAnsi" w:cs="Arial"/>
        </w:rPr>
        <w:t>Рискът от рецидив в тези групи молители е висок или среден към висок.</w:t>
      </w:r>
      <w:r w:rsidR="009A01ED" w:rsidRPr="009A01ED">
        <w:rPr>
          <w:noProof/>
        </w:rPr>
        <w:t xml:space="preserve"> </w:t>
      </w:r>
    </w:p>
    <w:p w:rsidR="00A44074" w:rsidRDefault="00507496" w:rsidP="009C3004">
      <w:pPr>
        <w:ind w:firstLine="708"/>
        <w:jc w:val="both"/>
        <w:rPr>
          <w:rFonts w:asciiTheme="majorHAnsi" w:hAnsiTheme="majorHAnsi" w:cs="Arial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38E80A5" wp14:editId="3CEA2803">
            <wp:simplePos x="0" y="0"/>
            <wp:positionH relativeFrom="margin">
              <wp:posOffset>-409575</wp:posOffset>
            </wp:positionH>
            <wp:positionV relativeFrom="paragraph">
              <wp:posOffset>4167648</wp:posOffset>
            </wp:positionV>
            <wp:extent cx="2012950" cy="1739900"/>
            <wp:effectExtent l="0" t="0" r="6350" b="0"/>
            <wp:wrapTight wrapText="bothSides">
              <wp:wrapPolygon edited="0">
                <wp:start x="0" y="0"/>
                <wp:lineTo x="0" y="21285"/>
                <wp:lineTo x="21464" y="21285"/>
                <wp:lineTo x="21464" y="0"/>
                <wp:lineTo x="0" y="0"/>
              </wp:wrapPolygon>
            </wp:wrapTight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8FE87AF" wp14:editId="67A82202">
            <wp:simplePos x="0" y="0"/>
            <wp:positionH relativeFrom="margin">
              <wp:posOffset>-13970</wp:posOffset>
            </wp:positionH>
            <wp:positionV relativeFrom="paragraph">
              <wp:posOffset>87630</wp:posOffset>
            </wp:positionV>
            <wp:extent cx="4503420" cy="4053205"/>
            <wp:effectExtent l="0" t="0" r="11430" b="4445"/>
            <wp:wrapTight wrapText="bothSides">
              <wp:wrapPolygon edited="0">
                <wp:start x="0" y="0"/>
                <wp:lineTo x="0" y="21522"/>
                <wp:lineTo x="21563" y="21522"/>
                <wp:lineTo x="21563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03E">
        <w:rPr>
          <w:rFonts w:asciiTheme="majorHAnsi" w:hAnsiTheme="majorHAnsi" w:cs="Arial"/>
        </w:rPr>
        <w:t xml:space="preserve">Рискът от рецидив при молителите, чиито молби са решени през отчетния период, се обуславя </w:t>
      </w:r>
      <w:r w:rsidR="00EC5288">
        <w:rPr>
          <w:rFonts w:asciiTheme="majorHAnsi" w:hAnsiTheme="majorHAnsi" w:cs="Arial"/>
        </w:rPr>
        <w:t xml:space="preserve">основно от </w:t>
      </w:r>
      <w:r w:rsidR="00D96CCE">
        <w:rPr>
          <w:rFonts w:asciiTheme="majorHAnsi" w:hAnsiTheme="majorHAnsi" w:cs="Arial"/>
        </w:rPr>
        <w:t xml:space="preserve">липсата на критичност </w:t>
      </w:r>
      <w:r w:rsidR="00EC5288">
        <w:rPr>
          <w:rFonts w:asciiTheme="majorHAnsi" w:hAnsiTheme="majorHAnsi" w:cs="Arial"/>
        </w:rPr>
        <w:t>към извършеното</w:t>
      </w:r>
      <w:r w:rsidR="00A44074">
        <w:rPr>
          <w:rFonts w:asciiTheme="majorHAnsi" w:hAnsiTheme="majorHAnsi" w:cs="Arial"/>
        </w:rPr>
        <w:t>,</w:t>
      </w:r>
      <w:r w:rsidR="00D96CCE">
        <w:rPr>
          <w:rFonts w:asciiTheme="majorHAnsi" w:hAnsiTheme="majorHAnsi" w:cs="Arial"/>
        </w:rPr>
        <w:t xml:space="preserve"> подсилено</w:t>
      </w:r>
      <w:r w:rsidR="00EC5288">
        <w:rPr>
          <w:rFonts w:asciiTheme="majorHAnsi" w:hAnsiTheme="majorHAnsi" w:cs="Arial"/>
        </w:rPr>
        <w:t xml:space="preserve"> и от криминогенната среда, в която </w:t>
      </w:r>
      <w:r w:rsidR="00A44074">
        <w:rPr>
          <w:rFonts w:asciiTheme="majorHAnsi" w:hAnsiTheme="majorHAnsi" w:cs="Arial"/>
        </w:rPr>
        <w:t>молителите са формирани и</w:t>
      </w:r>
      <w:r w:rsidR="00EC5288">
        <w:rPr>
          <w:rFonts w:asciiTheme="majorHAnsi" w:hAnsiTheme="majorHAnsi" w:cs="Arial"/>
        </w:rPr>
        <w:t xml:space="preserve"> живеят и която не подкрепя законосъобразно поведение</w:t>
      </w:r>
      <w:r w:rsidR="00F70525">
        <w:rPr>
          <w:rFonts w:asciiTheme="majorHAnsi" w:hAnsiTheme="majorHAnsi" w:cs="Arial"/>
        </w:rPr>
        <w:t xml:space="preserve"> и </w:t>
      </w:r>
      <w:r w:rsidR="00FA0C21">
        <w:rPr>
          <w:rFonts w:asciiTheme="majorHAnsi" w:hAnsiTheme="majorHAnsi" w:cs="Arial"/>
        </w:rPr>
        <w:t>не санкционира незаконосъобразен</w:t>
      </w:r>
      <w:r w:rsidR="00EC5288">
        <w:rPr>
          <w:rFonts w:asciiTheme="majorHAnsi" w:hAnsiTheme="majorHAnsi" w:cs="Arial"/>
        </w:rPr>
        <w:t xml:space="preserve"> начин на живот. Тези дефицити очертават профил на </w:t>
      </w:r>
      <w:r w:rsidR="00EC5288" w:rsidRPr="00F70525">
        <w:rPr>
          <w:rFonts w:asciiTheme="majorHAnsi" w:hAnsiTheme="majorHAnsi" w:cs="Arial"/>
          <w:b/>
        </w:rPr>
        <w:t>лица, които не преживяват извършеното от тях като укоримо, счит</w:t>
      </w:r>
      <w:r w:rsidR="00FA0C21">
        <w:rPr>
          <w:rFonts w:asciiTheme="majorHAnsi" w:hAnsiTheme="majorHAnsi" w:cs="Arial"/>
          <w:b/>
        </w:rPr>
        <w:t>ат се за жертва на несправедливо и злонамерено правосъдие</w:t>
      </w:r>
      <w:r w:rsidR="00EC5288">
        <w:rPr>
          <w:rFonts w:asciiTheme="majorHAnsi" w:hAnsiTheme="majorHAnsi" w:cs="Arial"/>
        </w:rPr>
        <w:t xml:space="preserve"> и нямат мотивация и нагласи да преосмислят и променят поведенческите си стереотипи в посока да решават житейските </w:t>
      </w:r>
      <w:r w:rsidR="00F70525">
        <w:rPr>
          <w:rFonts w:asciiTheme="majorHAnsi" w:hAnsiTheme="majorHAnsi" w:cs="Arial"/>
        </w:rPr>
        <w:t xml:space="preserve">си </w:t>
      </w:r>
      <w:r w:rsidR="00EC5288">
        <w:rPr>
          <w:rFonts w:asciiTheme="majorHAnsi" w:hAnsiTheme="majorHAnsi" w:cs="Arial"/>
        </w:rPr>
        <w:t xml:space="preserve">предизвикателства по непрестъпен начин. </w:t>
      </w:r>
    </w:p>
    <w:p w:rsidR="00E3203E" w:rsidRDefault="00EC5288" w:rsidP="009C3004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При значителен дял от 13 % престъпното поведение е обусловено от </w:t>
      </w:r>
      <w:r w:rsidRPr="00F70525">
        <w:rPr>
          <w:rFonts w:asciiTheme="majorHAnsi" w:hAnsiTheme="majorHAnsi" w:cs="Arial"/>
          <w:b/>
        </w:rPr>
        <w:t>алкохолна употреба</w:t>
      </w:r>
      <w:r w:rsidR="00A44074">
        <w:rPr>
          <w:rFonts w:asciiTheme="majorHAnsi" w:hAnsiTheme="majorHAnsi" w:cs="Arial"/>
        </w:rPr>
        <w:t>.</w:t>
      </w:r>
      <w:r>
        <w:rPr>
          <w:rFonts w:asciiTheme="majorHAnsi" w:hAnsiTheme="majorHAnsi" w:cs="Arial"/>
        </w:rPr>
        <w:t xml:space="preserve"> </w:t>
      </w:r>
      <w:r w:rsidR="00F70525">
        <w:rPr>
          <w:rFonts w:asciiTheme="majorHAnsi" w:hAnsiTheme="majorHAnsi" w:cs="Arial"/>
        </w:rPr>
        <w:t>В</w:t>
      </w:r>
      <w:r>
        <w:rPr>
          <w:rFonts w:asciiTheme="majorHAnsi" w:hAnsiTheme="majorHAnsi" w:cs="Arial"/>
        </w:rPr>
        <w:t xml:space="preserve">сички молители </w:t>
      </w:r>
      <w:r w:rsidR="00A44074">
        <w:rPr>
          <w:rFonts w:asciiTheme="majorHAnsi" w:hAnsiTheme="majorHAnsi" w:cs="Arial"/>
        </w:rPr>
        <w:t xml:space="preserve">от тази група </w:t>
      </w:r>
      <w:r w:rsidR="00F70525">
        <w:rPr>
          <w:rFonts w:asciiTheme="majorHAnsi" w:hAnsiTheme="majorHAnsi" w:cs="Arial"/>
        </w:rPr>
        <w:t>са осъдени за</w:t>
      </w:r>
      <w:r w:rsidR="00A44074">
        <w:rPr>
          <w:rFonts w:asciiTheme="majorHAnsi" w:hAnsiTheme="majorHAnsi" w:cs="Arial"/>
        </w:rPr>
        <w:t xml:space="preserve"> тежко насилствено престъпление, извършено в алкохолно опиянение и застрашило или завършило с отнемане на човешки живот по нелеп или незначителен повод</w:t>
      </w:r>
      <w:r>
        <w:rPr>
          <w:rFonts w:asciiTheme="majorHAnsi" w:hAnsiTheme="majorHAnsi" w:cs="Arial"/>
        </w:rPr>
        <w:t xml:space="preserve">. </w:t>
      </w:r>
    </w:p>
    <w:p w:rsidR="00A44074" w:rsidRDefault="00FA0C21" w:rsidP="009C3004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</w:rPr>
        <w:t>Д</w:t>
      </w:r>
      <w:r w:rsidR="00A44074" w:rsidRPr="00F70525">
        <w:rPr>
          <w:rFonts w:asciiTheme="majorHAnsi" w:hAnsiTheme="majorHAnsi" w:cs="Arial"/>
          <w:b/>
        </w:rPr>
        <w:t>ефицити</w:t>
      </w:r>
      <w:r>
        <w:rPr>
          <w:rFonts w:asciiTheme="majorHAnsi" w:hAnsiTheme="majorHAnsi" w:cs="Arial"/>
          <w:b/>
        </w:rPr>
        <w:t>те в образованието</w:t>
      </w:r>
      <w:r w:rsidR="00A44074">
        <w:rPr>
          <w:rFonts w:asciiTheme="majorHAnsi" w:hAnsiTheme="majorHAnsi" w:cs="Arial"/>
        </w:rPr>
        <w:t xml:space="preserve"> са сред значимите фактори за рецидив. Над 10 % от молителите през отчетния период са напълно неграмотни, а 46% са с незавършено основно образование, като най-често достигнатото образователно ниво е получено в затвора. Средно образование имат около 40%, като мнозина от тях също са го получили в затвор. Едва 9 са молителите с висше образование. </w:t>
      </w:r>
      <w:r w:rsidR="00507496">
        <w:rPr>
          <w:rFonts w:asciiTheme="majorHAnsi" w:hAnsiTheme="majorHAnsi" w:cs="Arial"/>
        </w:rPr>
        <w:t>Над 55% нямат професия и не работят нищо, а 25% спорадично полагат общ неквалифициран физически труд. Дял от 50% от тях са семейни</w:t>
      </w:r>
      <w:r w:rsidR="00136BD1">
        <w:rPr>
          <w:rFonts w:asciiTheme="majorHAnsi" w:hAnsiTheme="majorHAnsi" w:cs="Arial"/>
        </w:rPr>
        <w:t>, но нямат умения да полагат системни грижи за децата и близките си</w:t>
      </w:r>
      <w:r w:rsidR="00507496">
        <w:rPr>
          <w:rFonts w:asciiTheme="majorHAnsi" w:hAnsiTheme="majorHAnsi" w:cs="Arial"/>
        </w:rPr>
        <w:t>.</w:t>
      </w:r>
      <w:r w:rsidR="00136BD1">
        <w:rPr>
          <w:rFonts w:asciiTheme="majorHAnsi" w:hAnsiTheme="majorHAnsi" w:cs="Arial"/>
        </w:rPr>
        <w:t xml:space="preserve"> От всички молители, чиито молби са решени през отчетния период, 50% имат малолетни и/или непълнолетни деца, за които са задължени да се грижат.</w:t>
      </w:r>
    </w:p>
    <w:p w:rsidR="00440A00" w:rsidRDefault="00164F97" w:rsidP="009C3004">
      <w:pPr>
        <w:ind w:firstLine="708"/>
        <w:jc w:val="both"/>
        <w:rPr>
          <w:rFonts w:asciiTheme="majorHAnsi" w:hAnsiTheme="majorHAnsi" w:cs="Arial"/>
        </w:rPr>
      </w:pPr>
      <w:r w:rsidRPr="00F70525">
        <w:rPr>
          <w:rFonts w:asciiTheme="majorHAnsi" w:hAnsiTheme="majorHAnsi" w:cs="Arial"/>
          <w:b/>
        </w:rPr>
        <w:t>Престъпленията</w:t>
      </w:r>
      <w:r>
        <w:rPr>
          <w:rFonts w:asciiTheme="majorHAnsi" w:hAnsiTheme="majorHAnsi" w:cs="Arial"/>
        </w:rPr>
        <w:t>, извършени от молителите, чиито молби са разгледани и решени през отчетния период, са общо 100, като близо половината от тях са свързани с отнемане на човешки живот</w:t>
      </w:r>
      <w:r w:rsidR="00440A00">
        <w:rPr>
          <w:rFonts w:asciiTheme="majorHAnsi" w:hAnsiTheme="majorHAnsi" w:cs="Arial"/>
        </w:rPr>
        <w:t xml:space="preserve"> (39 умишлени убийства, 1 непредпазливо причиняване на смърт и 9 грабежа, </w:t>
      </w:r>
      <w:r w:rsidR="001F3530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4C1D887" wp14:editId="1B9C5E21">
            <wp:simplePos x="0" y="0"/>
            <wp:positionH relativeFrom="margin">
              <wp:posOffset>2579370</wp:posOffset>
            </wp:positionH>
            <wp:positionV relativeFrom="paragraph">
              <wp:posOffset>64135</wp:posOffset>
            </wp:positionV>
            <wp:extent cx="3964305" cy="3234055"/>
            <wp:effectExtent l="0" t="0" r="17145" b="4445"/>
            <wp:wrapTight wrapText="bothSides">
              <wp:wrapPolygon edited="0">
                <wp:start x="0" y="0"/>
                <wp:lineTo x="0" y="21502"/>
                <wp:lineTo x="21590" y="21502"/>
                <wp:lineTo x="21590" y="0"/>
                <wp:lineTo x="0" y="0"/>
              </wp:wrapPolygon>
            </wp:wrapTight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A00">
        <w:rPr>
          <w:rFonts w:asciiTheme="majorHAnsi" w:hAnsiTheme="majorHAnsi" w:cs="Arial"/>
        </w:rPr>
        <w:t>придружени с убийство) и 3/4 са извършени с цел неправомерно облагодетелстване (общо 75 кражби, грабежи,  измами, обсебване, стопански и корупционни престъпления,</w:t>
      </w:r>
      <w:r>
        <w:rPr>
          <w:rFonts w:asciiTheme="majorHAnsi" w:hAnsiTheme="majorHAnsi" w:cs="Arial"/>
        </w:rPr>
        <w:t xml:space="preserve"> </w:t>
      </w:r>
      <w:r w:rsidR="00440A00">
        <w:rPr>
          <w:rFonts w:asciiTheme="majorHAnsi" w:hAnsiTheme="majorHAnsi" w:cs="Arial"/>
        </w:rPr>
        <w:t xml:space="preserve">трафик на хора и забранени стоки). </w:t>
      </w:r>
    </w:p>
    <w:p w:rsidR="005F6CDF" w:rsidRDefault="00440A00" w:rsidP="009C3004">
      <w:pPr>
        <w:ind w:firstLine="708"/>
        <w:jc w:val="both"/>
        <w:rPr>
          <w:noProof/>
        </w:rPr>
      </w:pPr>
      <w:r>
        <w:rPr>
          <w:rFonts w:asciiTheme="majorHAnsi" w:hAnsiTheme="majorHAnsi" w:cs="Arial"/>
        </w:rPr>
        <w:t>За тези престъпления 70 извършители са осъдени на лишаване от свобода до 10 години, 23-ма – на лишаване от свобода между 10 и 19 години и 13 – на лишаване от свобода над 20 години. Един е осъден на доживотен затвор и трима на доживотен затвор без замяна. Към тези наказания на трима молители е наложено допълнително наказание глоба и на двама – лишаване от права.</w:t>
      </w:r>
      <w:r w:rsidRPr="00440A00">
        <w:rPr>
          <w:noProof/>
        </w:rPr>
        <w:t xml:space="preserve"> </w:t>
      </w:r>
    </w:p>
    <w:p w:rsidR="00D2695F" w:rsidRDefault="00D2695F" w:rsidP="009C3004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През отчетния период </w:t>
      </w:r>
      <w:r w:rsidR="00FA0C21">
        <w:rPr>
          <w:rFonts w:asciiTheme="majorHAnsi" w:hAnsiTheme="majorHAnsi" w:cs="Arial"/>
          <w:b/>
        </w:rPr>
        <w:t>помилване с</w:t>
      </w:r>
      <w:r w:rsidRPr="00D2695F">
        <w:rPr>
          <w:rFonts w:asciiTheme="majorHAnsi" w:hAnsiTheme="majorHAnsi" w:cs="Arial"/>
          <w:b/>
        </w:rPr>
        <w:t>а поискали двама осъдени, които в миналото са били помилвани</w:t>
      </w:r>
      <w:r>
        <w:rPr>
          <w:rFonts w:asciiTheme="majorHAnsi" w:hAnsiTheme="majorHAnsi" w:cs="Arial"/>
          <w:b/>
        </w:rPr>
        <w:t>.</w:t>
      </w:r>
      <w:r>
        <w:rPr>
          <w:rFonts w:asciiTheme="majorHAnsi" w:hAnsiTheme="majorHAnsi" w:cs="Arial"/>
        </w:rPr>
        <w:t xml:space="preserve"> </w:t>
      </w:r>
    </w:p>
    <w:p w:rsidR="007B4893" w:rsidRDefault="009A01ED" w:rsidP="00D77069">
      <w:pPr>
        <w:ind w:firstLine="708"/>
        <w:jc w:val="both"/>
        <w:rPr>
          <w:rFonts w:ascii="Cambria" w:hAnsi="Cambria" w:cs="Aria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1A4B5FA" wp14:editId="66E60D76">
            <wp:simplePos x="0" y="0"/>
            <wp:positionH relativeFrom="margin">
              <wp:align>left</wp:align>
            </wp:positionH>
            <wp:positionV relativeFrom="paragraph">
              <wp:posOffset>73499</wp:posOffset>
            </wp:positionV>
            <wp:extent cx="3217545" cy="2865755"/>
            <wp:effectExtent l="0" t="0" r="1905" b="0"/>
            <wp:wrapTight wrapText="bothSides">
              <wp:wrapPolygon edited="0">
                <wp:start x="0" y="0"/>
                <wp:lineTo x="0" y="21394"/>
                <wp:lineTo x="21485" y="21394"/>
                <wp:lineTo x="21485" y="0"/>
                <wp:lineTo x="0" y="0"/>
              </wp:wrapPolygon>
            </wp:wrapTight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95F" w:rsidRPr="00D2695F">
        <w:rPr>
          <w:rFonts w:ascii="Cambria" w:hAnsi="Cambria" w:cs="Arial"/>
        </w:rPr>
        <w:t xml:space="preserve">Единият е бил помилван с </w:t>
      </w:r>
      <w:r w:rsidR="00D2695F" w:rsidRPr="00D2695F">
        <w:rPr>
          <w:rFonts w:ascii="Cambria" w:hAnsi="Cambria"/>
          <w:b/>
        </w:rPr>
        <w:t xml:space="preserve">Указ 44/16.04.1998 г. </w:t>
      </w:r>
      <w:r w:rsidR="00D2695F" w:rsidRPr="00D2695F">
        <w:rPr>
          <w:rFonts w:ascii="Cambria" w:hAnsi="Cambria"/>
        </w:rPr>
        <w:t>с остатъка от 11 месеца и 27 дни</w:t>
      </w:r>
      <w:r w:rsidR="00D2695F" w:rsidRPr="00D2695F">
        <w:rPr>
          <w:rFonts w:ascii="Cambria" w:hAnsi="Cambria" w:cs="Arial"/>
        </w:rPr>
        <w:t xml:space="preserve"> </w:t>
      </w:r>
      <w:r w:rsidR="00D2695F">
        <w:rPr>
          <w:rFonts w:ascii="Cambria" w:hAnsi="Cambria" w:cs="Arial"/>
        </w:rPr>
        <w:t xml:space="preserve">от наказание 20 години лишаване от свобода за убийството на съпругата си, за което е осъден през 1987 г. В момента е осъден отново на 20 години лишаване от свобода отново за убийство, като от него е изтърпял фактически близо 14 години. </w:t>
      </w:r>
    </w:p>
    <w:p w:rsidR="004B314D" w:rsidRDefault="00D2695F" w:rsidP="00D77069">
      <w:pPr>
        <w:ind w:firstLine="708"/>
        <w:jc w:val="both"/>
        <w:rPr>
          <w:rFonts w:asciiTheme="majorHAnsi" w:hAnsiTheme="majorHAnsi" w:cs="Arial"/>
        </w:rPr>
      </w:pPr>
      <w:r>
        <w:rPr>
          <w:rFonts w:ascii="Cambria" w:hAnsi="Cambria" w:cs="Arial"/>
        </w:rPr>
        <w:t>Другият</w:t>
      </w:r>
      <w:r w:rsidR="00D77069">
        <w:rPr>
          <w:rFonts w:ascii="Cambria" w:hAnsi="Cambria" w:cs="Arial"/>
        </w:rPr>
        <w:t xml:space="preserve"> молител вече е бил помилван частично от наказанието, което изтърпява в момента, и не са намерени основания за повторна проява на висша държавна милост.</w:t>
      </w:r>
      <w:r>
        <w:rPr>
          <w:rFonts w:asciiTheme="majorHAnsi" w:hAnsiTheme="majorHAnsi" w:cs="Arial"/>
        </w:rPr>
        <w:t xml:space="preserve"> </w:t>
      </w:r>
    </w:p>
    <w:p w:rsidR="007B4893" w:rsidRDefault="007B4893" w:rsidP="009C3004">
      <w:pPr>
        <w:ind w:firstLine="708"/>
        <w:jc w:val="both"/>
        <w:rPr>
          <w:rFonts w:asciiTheme="majorHAnsi" w:hAnsiTheme="majorHAnsi" w:cs="Arial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9EC0CEF" wp14:editId="2FB8F2F5">
            <wp:simplePos x="0" y="0"/>
            <wp:positionH relativeFrom="margin">
              <wp:posOffset>3315970</wp:posOffset>
            </wp:positionH>
            <wp:positionV relativeFrom="paragraph">
              <wp:posOffset>854710</wp:posOffset>
            </wp:positionV>
            <wp:extent cx="3206115" cy="1303020"/>
            <wp:effectExtent l="0" t="0" r="0" b="0"/>
            <wp:wrapTight wrapText="bothSides">
              <wp:wrapPolygon edited="0">
                <wp:start x="0" y="0"/>
                <wp:lineTo x="0" y="21158"/>
                <wp:lineTo x="21433" y="21158"/>
                <wp:lineTo x="21433" y="0"/>
                <wp:lineTo x="0" y="0"/>
              </wp:wrapPolygon>
            </wp:wrapTight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="Arial"/>
        </w:rPr>
        <w:t>От осъдените молители 5 не изтърпяват наложеното им наказание лишаване от свобода, тъй като се укриват или са подали молбата в периода преди присъдата да бъде приведена в изпълнение.</w:t>
      </w:r>
    </w:p>
    <w:p w:rsidR="00F70525" w:rsidRDefault="007B4893" w:rsidP="009C3004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Всички молители са на възраст над 23 години</w:t>
      </w:r>
      <w:r w:rsidR="009D0932">
        <w:rPr>
          <w:rFonts w:asciiTheme="majorHAnsi" w:hAnsiTheme="majorHAnsi" w:cs="Arial"/>
        </w:rPr>
        <w:t xml:space="preserve">. </w:t>
      </w:r>
      <w:r w:rsidR="0070621A">
        <w:rPr>
          <w:rFonts w:asciiTheme="majorHAnsi" w:hAnsiTheme="majorHAnsi" w:cs="Arial"/>
        </w:rPr>
        <w:t>Най-големи са групите в зряла работоспособна възраст.</w:t>
      </w:r>
    </w:p>
    <w:p w:rsidR="002A6BD2" w:rsidRDefault="00507496" w:rsidP="009C3004">
      <w:pPr>
        <w:ind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Сред осъдените молители 5 са жени.</w:t>
      </w:r>
    </w:p>
    <w:p w:rsidR="009D0932" w:rsidRDefault="009D0932" w:rsidP="009C3004">
      <w:pPr>
        <w:ind w:firstLine="708"/>
        <w:jc w:val="both"/>
        <w:rPr>
          <w:rFonts w:asciiTheme="majorHAnsi" w:hAnsiTheme="majorHAnsi" w:cs="Arial"/>
        </w:rPr>
      </w:pPr>
    </w:p>
    <w:p w:rsidR="007B4893" w:rsidRDefault="007B4893" w:rsidP="009C3004">
      <w:pPr>
        <w:ind w:firstLine="708"/>
        <w:jc w:val="both"/>
        <w:rPr>
          <w:rFonts w:asciiTheme="majorHAnsi" w:hAnsiTheme="majorHAnsi" w:cs="Arial"/>
        </w:rPr>
      </w:pPr>
    </w:p>
    <w:p w:rsidR="007B4893" w:rsidRDefault="007B4893" w:rsidP="009C3004">
      <w:pPr>
        <w:ind w:firstLine="708"/>
        <w:jc w:val="both"/>
        <w:rPr>
          <w:rFonts w:asciiTheme="majorHAnsi" w:hAnsiTheme="majorHAnsi" w:cs="Arial"/>
        </w:rPr>
      </w:pPr>
    </w:p>
    <w:p w:rsidR="004B314D" w:rsidRDefault="004B314D" w:rsidP="009C3004">
      <w:pPr>
        <w:ind w:firstLine="708"/>
        <w:jc w:val="both"/>
        <w:rPr>
          <w:rFonts w:asciiTheme="majorHAnsi" w:hAnsiTheme="majorHAnsi" w:cs="Arial"/>
        </w:rPr>
      </w:pPr>
    </w:p>
    <w:p w:rsidR="007B4893" w:rsidRDefault="007B4893" w:rsidP="009C3004">
      <w:pPr>
        <w:ind w:firstLine="708"/>
        <w:jc w:val="both"/>
        <w:rPr>
          <w:rFonts w:asciiTheme="majorHAnsi" w:hAnsiTheme="majorHAnsi" w:cs="Arial"/>
        </w:rPr>
      </w:pPr>
    </w:p>
    <w:p w:rsidR="007B4893" w:rsidRDefault="007B4893" w:rsidP="009C3004">
      <w:pPr>
        <w:ind w:firstLine="708"/>
        <w:jc w:val="both"/>
        <w:rPr>
          <w:rFonts w:asciiTheme="majorHAnsi" w:hAnsiTheme="majorHAnsi" w:cs="Arial"/>
        </w:rPr>
      </w:pPr>
    </w:p>
    <w:p w:rsidR="00440A00" w:rsidRDefault="00440A00" w:rsidP="009C3004">
      <w:pPr>
        <w:ind w:firstLine="708"/>
        <w:jc w:val="both"/>
        <w:rPr>
          <w:rFonts w:asciiTheme="majorHAnsi" w:hAnsiTheme="majorHAnsi" w:cs="Arial"/>
        </w:rPr>
      </w:pPr>
    </w:p>
    <w:p w:rsidR="001F67EB" w:rsidRPr="00F905F4" w:rsidRDefault="007565E2" w:rsidP="007565E2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</w:t>
      </w:r>
      <w:r w:rsidR="001F67EB" w:rsidRPr="00F905F4">
        <w:rPr>
          <w:rFonts w:asciiTheme="majorHAnsi" w:hAnsiTheme="majorHAnsi"/>
          <w:b/>
        </w:rPr>
        <w:t>.3</w:t>
      </w:r>
      <w:r>
        <w:rPr>
          <w:rFonts w:asciiTheme="majorHAnsi" w:hAnsiTheme="majorHAnsi"/>
          <w:b/>
        </w:rPr>
        <w:t>.</w:t>
      </w:r>
      <w:r w:rsidR="001F67EB" w:rsidRPr="00F905F4">
        <w:rPr>
          <w:rFonts w:asciiTheme="majorHAnsi" w:hAnsiTheme="majorHAnsi"/>
          <w:b/>
        </w:rPr>
        <w:t xml:space="preserve"> ПРЕДЛОЖЕНИЯ ЗА ПОМИЛВАНЕ</w:t>
      </w:r>
    </w:p>
    <w:p w:rsidR="009C3004" w:rsidRDefault="009C3004" w:rsidP="001F67EB">
      <w:pPr>
        <w:ind w:firstLine="709"/>
        <w:jc w:val="both"/>
        <w:rPr>
          <w:rFonts w:asciiTheme="majorHAnsi" w:hAnsiTheme="majorHAnsi"/>
        </w:rPr>
      </w:pPr>
    </w:p>
    <w:p w:rsidR="001F67EB" w:rsidRPr="00F905F4" w:rsidRDefault="002A6283" w:rsidP="001F67EB">
      <w:pPr>
        <w:ind w:firstLine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През </w:t>
      </w:r>
      <w:r w:rsidR="00F56105">
        <w:rPr>
          <w:rFonts w:asciiTheme="majorHAnsi" w:hAnsiTheme="majorHAnsi"/>
        </w:rPr>
        <w:t>второто</w:t>
      </w:r>
      <w:r>
        <w:rPr>
          <w:rFonts w:asciiTheme="majorHAnsi" w:hAnsiTheme="majorHAnsi"/>
        </w:rPr>
        <w:t xml:space="preserve"> тримесечие на 2015</w:t>
      </w:r>
      <w:r w:rsidR="008774F5">
        <w:rPr>
          <w:rFonts w:asciiTheme="majorHAnsi" w:hAnsiTheme="majorHAnsi"/>
        </w:rPr>
        <w:t xml:space="preserve"> г. Вицепрезидентът се е произнесъл по </w:t>
      </w:r>
      <w:r w:rsidR="002E77D6" w:rsidRPr="00A0537C">
        <w:rPr>
          <w:rFonts w:asciiTheme="majorHAnsi" w:hAnsiTheme="majorHAnsi"/>
          <w:b/>
        </w:rPr>
        <w:t>две</w:t>
      </w:r>
      <w:r w:rsidR="002E77D6">
        <w:rPr>
          <w:rFonts w:asciiTheme="majorHAnsi" w:hAnsiTheme="majorHAnsi"/>
        </w:rPr>
        <w:t xml:space="preserve"> </w:t>
      </w:r>
      <w:r w:rsidR="001F67EB" w:rsidRPr="008774F5">
        <w:rPr>
          <w:rFonts w:asciiTheme="majorHAnsi" w:hAnsiTheme="majorHAnsi"/>
        </w:rPr>
        <w:t>предложени</w:t>
      </w:r>
      <w:r w:rsidR="002E77D6">
        <w:rPr>
          <w:rFonts w:asciiTheme="majorHAnsi" w:hAnsiTheme="majorHAnsi"/>
        </w:rPr>
        <w:t>я</w:t>
      </w:r>
      <w:r w:rsidR="008774F5" w:rsidRPr="008774F5">
        <w:rPr>
          <w:rFonts w:asciiTheme="majorHAnsi" w:hAnsiTheme="majorHAnsi"/>
        </w:rPr>
        <w:t xml:space="preserve"> на </w:t>
      </w:r>
      <w:r w:rsidR="00EF3501">
        <w:rPr>
          <w:rFonts w:asciiTheme="majorHAnsi" w:hAnsiTheme="majorHAnsi"/>
        </w:rPr>
        <w:t>К</w:t>
      </w:r>
      <w:r w:rsidR="008774F5" w:rsidRPr="008774F5">
        <w:rPr>
          <w:rFonts w:asciiTheme="majorHAnsi" w:hAnsiTheme="majorHAnsi"/>
        </w:rPr>
        <w:t>омисията</w:t>
      </w:r>
      <w:r w:rsidR="001F67EB" w:rsidRPr="008774F5">
        <w:rPr>
          <w:rFonts w:asciiTheme="majorHAnsi" w:hAnsiTheme="majorHAnsi"/>
        </w:rPr>
        <w:t xml:space="preserve"> за помилване</w:t>
      </w:r>
      <w:r w:rsidR="00F56105">
        <w:rPr>
          <w:rFonts w:asciiTheme="majorHAnsi" w:hAnsiTheme="majorHAnsi"/>
        </w:rPr>
        <w:t xml:space="preserve">, </w:t>
      </w:r>
      <w:r w:rsidR="00F56105" w:rsidRPr="00A0537C">
        <w:rPr>
          <w:rFonts w:asciiTheme="majorHAnsi" w:hAnsiTheme="majorHAnsi"/>
          <w:b/>
        </w:rPr>
        <w:t>едното от които е уважено</w:t>
      </w:r>
      <w:r w:rsidR="00F70525" w:rsidRPr="00F70525">
        <w:rPr>
          <w:rFonts w:asciiTheme="majorHAnsi" w:hAnsiTheme="majorHAnsi"/>
        </w:rPr>
        <w:t xml:space="preserve"> </w:t>
      </w:r>
      <w:r w:rsidR="00F70525" w:rsidRPr="00F905F4">
        <w:rPr>
          <w:rFonts w:asciiTheme="majorHAnsi" w:hAnsiTheme="majorHAnsi"/>
        </w:rPr>
        <w:t>(</w:t>
      </w:r>
      <w:r w:rsidR="00F70525" w:rsidRPr="00F905F4">
        <w:rPr>
          <w:rFonts w:asciiTheme="majorHAnsi" w:hAnsiTheme="majorHAnsi"/>
          <w:i/>
        </w:rPr>
        <w:t>следва извлечение от мотивите на Комисията</w:t>
      </w:r>
      <w:r w:rsidR="00F70525">
        <w:rPr>
          <w:rFonts w:asciiTheme="majorHAnsi" w:hAnsiTheme="majorHAnsi"/>
        </w:rPr>
        <w:t>):</w:t>
      </w:r>
    </w:p>
    <w:p w:rsidR="00A0537C" w:rsidRPr="00A0537C" w:rsidRDefault="007F1437" w:rsidP="00A0537C">
      <w:pPr>
        <w:pStyle w:val="ListParagraph"/>
        <w:numPr>
          <w:ilvl w:val="0"/>
          <w:numId w:val="33"/>
        </w:numPr>
        <w:tabs>
          <w:tab w:val="left" w:pos="993"/>
        </w:tabs>
        <w:ind w:left="0" w:firstLine="708"/>
        <w:jc w:val="both"/>
        <w:rPr>
          <w:rFonts w:ascii="Cambria" w:hAnsi="Cambria"/>
        </w:rPr>
      </w:pPr>
      <w:r w:rsidRPr="00A0537C">
        <w:rPr>
          <w:rFonts w:ascii="Cambria" w:hAnsi="Cambria"/>
        </w:rPr>
        <w:t xml:space="preserve">Молителят е 32-годишен мъж с висше </w:t>
      </w:r>
      <w:r w:rsidR="00A0537C" w:rsidRPr="00A0537C">
        <w:rPr>
          <w:rFonts w:ascii="Cambria" w:hAnsi="Cambria"/>
        </w:rPr>
        <w:t xml:space="preserve">филологическо </w:t>
      </w:r>
      <w:r w:rsidRPr="00A0537C">
        <w:rPr>
          <w:rFonts w:ascii="Cambria" w:hAnsi="Cambria"/>
        </w:rPr>
        <w:t>образование, осъден на 10 години лишаване от свобода за убийство</w:t>
      </w:r>
      <w:r w:rsidR="00A0537C" w:rsidRPr="00A0537C">
        <w:rPr>
          <w:rFonts w:ascii="Cambria" w:hAnsi="Cambria"/>
        </w:rPr>
        <w:t>, извършено при сбиване, предизвикано от пострадалия</w:t>
      </w:r>
      <w:r w:rsidRPr="00A0537C">
        <w:rPr>
          <w:rFonts w:ascii="Cambria" w:hAnsi="Cambria"/>
        </w:rPr>
        <w:t>.</w:t>
      </w:r>
      <w:r w:rsidR="00A0537C" w:rsidRPr="00A0537C">
        <w:rPr>
          <w:rFonts w:ascii="Cambria" w:hAnsi="Cambria"/>
        </w:rPr>
        <w:t xml:space="preserve"> В миналото не е допускал нарушения. Изтърпял фактически 2 години и 7 месеца към дат</w:t>
      </w:r>
      <w:r w:rsidR="00A0537C">
        <w:rPr>
          <w:rFonts w:ascii="Cambria" w:hAnsi="Cambria"/>
        </w:rPr>
        <w:t>ата на произнасяне на Комисията</w:t>
      </w:r>
      <w:r w:rsidR="00A0537C" w:rsidRPr="00A0537C">
        <w:rPr>
          <w:rFonts w:ascii="Cambria" w:hAnsi="Cambria"/>
        </w:rPr>
        <w:t>.</w:t>
      </w:r>
    </w:p>
    <w:p w:rsidR="00A0537C" w:rsidRPr="00A0537C" w:rsidRDefault="00A0537C" w:rsidP="00A0537C">
      <w:pPr>
        <w:tabs>
          <w:tab w:val="left" w:pos="993"/>
        </w:tabs>
        <w:jc w:val="both"/>
        <w:rPr>
          <w:rFonts w:ascii="Cambria" w:hAnsi="Cambria"/>
        </w:rPr>
      </w:pPr>
      <w:r w:rsidRPr="00A0537C">
        <w:rPr>
          <w:rFonts w:ascii="Cambria" w:hAnsi="Cambria"/>
        </w:rPr>
        <w:tab/>
        <w:t>Комисията отчела, че престъплението е единствена и</w:t>
      </w:r>
      <w:r w:rsidR="007F1437" w:rsidRPr="00A0537C">
        <w:rPr>
          <w:rFonts w:ascii="Cambria" w:hAnsi="Cambria"/>
        </w:rPr>
        <w:t xml:space="preserve"> инцидентна проява в живота на осъдения</w:t>
      </w:r>
      <w:r>
        <w:rPr>
          <w:rFonts w:ascii="Cambria" w:hAnsi="Cambria"/>
        </w:rPr>
        <w:t xml:space="preserve">, </w:t>
      </w:r>
      <w:r w:rsidR="007F1437" w:rsidRPr="00A0537C">
        <w:rPr>
          <w:rFonts w:ascii="Cambria" w:hAnsi="Cambria"/>
        </w:rPr>
        <w:t xml:space="preserve">мотивацията му не разкрива противообществени или агресивни нагласи, </w:t>
      </w:r>
      <w:r>
        <w:rPr>
          <w:rFonts w:ascii="Cambria" w:hAnsi="Cambria"/>
        </w:rPr>
        <w:t>а</w:t>
      </w:r>
      <w:r w:rsidR="007F1437" w:rsidRPr="00A0537C">
        <w:rPr>
          <w:rFonts w:ascii="Cambria" w:hAnsi="Cambria"/>
        </w:rPr>
        <w:t xml:space="preserve"> механизмът му включва укорима провокация от страна на пострадали</w:t>
      </w:r>
      <w:r>
        <w:rPr>
          <w:rFonts w:ascii="Cambria" w:hAnsi="Cambria"/>
        </w:rPr>
        <w:t>я</w:t>
      </w:r>
      <w:r w:rsidR="007F1437" w:rsidRPr="00A0537C">
        <w:rPr>
          <w:rFonts w:ascii="Cambria" w:hAnsi="Cambria"/>
        </w:rPr>
        <w:t>.</w:t>
      </w:r>
    </w:p>
    <w:p w:rsidR="00A0537C" w:rsidRPr="00A0537C" w:rsidRDefault="00A0537C" w:rsidP="00A0537C">
      <w:pPr>
        <w:tabs>
          <w:tab w:val="left" w:pos="993"/>
        </w:tabs>
        <w:jc w:val="both"/>
        <w:rPr>
          <w:rFonts w:ascii="Cambria" w:hAnsi="Cambria"/>
        </w:rPr>
      </w:pPr>
      <w:r w:rsidRPr="00A0537C">
        <w:rPr>
          <w:rFonts w:ascii="Cambria" w:hAnsi="Cambria"/>
        </w:rPr>
        <w:tab/>
      </w:r>
      <w:r w:rsidR="007F1437" w:rsidRPr="00A0537C">
        <w:rPr>
          <w:rFonts w:ascii="Cambria" w:hAnsi="Cambria"/>
        </w:rPr>
        <w:t xml:space="preserve">Развитието на осъдения в затвора очертава бързо развитие на корекционния процес, чиято бързина и достигнати нива на поправяне на осъдения са значително по-големи от обичайните. </w:t>
      </w:r>
      <w:r>
        <w:rPr>
          <w:rFonts w:ascii="Cambria" w:hAnsi="Cambria"/>
        </w:rPr>
        <w:t>С</w:t>
      </w:r>
      <w:r w:rsidR="007F1437" w:rsidRPr="00A0537C">
        <w:rPr>
          <w:rFonts w:ascii="Cambria" w:hAnsi="Cambria"/>
        </w:rPr>
        <w:t>коро след навлизане на наказанието в ос</w:t>
      </w:r>
      <w:r>
        <w:rPr>
          <w:rFonts w:ascii="Cambria" w:hAnsi="Cambria"/>
        </w:rPr>
        <w:t>новния му етап</w:t>
      </w:r>
      <w:r w:rsidR="007F1437" w:rsidRPr="00A0537C">
        <w:rPr>
          <w:rFonts w:ascii="Cambria" w:hAnsi="Cambria"/>
        </w:rPr>
        <w:t xml:space="preserve"> корекционният процес носи признаците, които са характерни за заключителните етапи на успешно приложеното наказание</w:t>
      </w:r>
      <w:r>
        <w:rPr>
          <w:rFonts w:ascii="Cambria" w:hAnsi="Cambria"/>
        </w:rPr>
        <w:t>. Р</w:t>
      </w:r>
      <w:r w:rsidR="007F1437" w:rsidRPr="00A0537C">
        <w:rPr>
          <w:rFonts w:ascii="Cambria" w:hAnsi="Cambria"/>
        </w:rPr>
        <w:t xml:space="preserve">искът от рецидив </w:t>
      </w:r>
      <w:r>
        <w:rPr>
          <w:rFonts w:ascii="Cambria" w:hAnsi="Cambria"/>
        </w:rPr>
        <w:t xml:space="preserve">и от вреди </w:t>
      </w:r>
      <w:r w:rsidR="007F1437" w:rsidRPr="00A0537C">
        <w:rPr>
          <w:rFonts w:ascii="Cambria" w:hAnsi="Cambria"/>
        </w:rPr>
        <w:t>е</w:t>
      </w:r>
      <w:r>
        <w:rPr>
          <w:rFonts w:ascii="Cambria" w:hAnsi="Cambria"/>
        </w:rPr>
        <w:t xml:space="preserve"> преодолян</w:t>
      </w:r>
      <w:r w:rsidR="007F1437" w:rsidRPr="00A0537C">
        <w:rPr>
          <w:rFonts w:ascii="Cambria" w:hAnsi="Cambria"/>
        </w:rPr>
        <w:t xml:space="preserve">. </w:t>
      </w:r>
      <w:r w:rsidR="00D77FB8">
        <w:rPr>
          <w:rFonts w:ascii="Cambria" w:hAnsi="Cambria"/>
        </w:rPr>
        <w:t xml:space="preserve">Молителят е преосмислил и се разграничава от извършеното. </w:t>
      </w:r>
      <w:r w:rsidR="007F1437" w:rsidRPr="00A0537C">
        <w:rPr>
          <w:rFonts w:ascii="Cambria" w:hAnsi="Cambria"/>
        </w:rPr>
        <w:t>Налице са активно използвани ресурси за ресоциализация, свързани със средата и личността на осъдения – материална и морална подкрепа от близките, съхранени приятелски контакти, активна двустранна кореспонденция и присъствени свиждания и др. Самият осъден проявява находчива инициативност в рамките на строгите режимни ограничения, като активно развива ресоциализационна дейност по отношение на другите затворници</w:t>
      </w:r>
      <w:r>
        <w:rPr>
          <w:rFonts w:ascii="Cambria" w:hAnsi="Cambria"/>
        </w:rPr>
        <w:t xml:space="preserve"> - п</w:t>
      </w:r>
      <w:r w:rsidR="007F1437" w:rsidRPr="00A0537C">
        <w:rPr>
          <w:rFonts w:ascii="Cambria" w:hAnsi="Cambria"/>
        </w:rPr>
        <w:t xml:space="preserve">о своя инициатива организира и провежда образователни курсове по английски език, като успява да мотивира тези лица да се включат. Работи на доброволни начала в затворническата кухня. В затвора се проявява като инициативен, активен и отговорен човек, който намира конструктивен и градивен подход към околните и успява да им бъде полезен, като бързо се учи да се съобразява с правилата и ограниченията на средата.   </w:t>
      </w:r>
    </w:p>
    <w:p w:rsidR="00A0537C" w:rsidRPr="00A0537C" w:rsidRDefault="00A0537C" w:rsidP="00A0537C">
      <w:pPr>
        <w:tabs>
          <w:tab w:val="left" w:pos="993"/>
        </w:tabs>
        <w:jc w:val="both"/>
        <w:rPr>
          <w:rFonts w:ascii="Cambria" w:hAnsi="Cambria"/>
        </w:rPr>
      </w:pPr>
      <w:r w:rsidRPr="00A0537C">
        <w:rPr>
          <w:rFonts w:ascii="Cambria" w:hAnsi="Cambria"/>
        </w:rPr>
        <w:tab/>
      </w:r>
      <w:r w:rsidR="007F1437" w:rsidRPr="00A0537C">
        <w:rPr>
          <w:rFonts w:ascii="Cambria" w:hAnsi="Cambria"/>
        </w:rPr>
        <w:t xml:space="preserve">Така постигнатите корекционни резултати за краткия срок на изтърпяване на наказанието придават прекомерност и нецелесъобразност на неговия остатък. </w:t>
      </w:r>
      <w:r>
        <w:rPr>
          <w:rFonts w:ascii="Cambria" w:hAnsi="Cambria"/>
        </w:rPr>
        <w:t>К</w:t>
      </w:r>
      <w:r w:rsidR="007F1437" w:rsidRPr="00A0537C">
        <w:rPr>
          <w:rFonts w:ascii="Cambria" w:hAnsi="Cambria"/>
        </w:rPr>
        <w:t>ъм момента не са налице подходящи институти на наказателноизпълнителното пра</w:t>
      </w:r>
      <w:r>
        <w:rPr>
          <w:rFonts w:ascii="Cambria" w:hAnsi="Cambria"/>
        </w:rPr>
        <w:t>во за облекчаване на репресията</w:t>
      </w:r>
      <w:r w:rsidR="007F1437" w:rsidRPr="00A0537C">
        <w:rPr>
          <w:rFonts w:ascii="Cambria" w:hAnsi="Cambria"/>
        </w:rPr>
        <w:t>.</w:t>
      </w:r>
    </w:p>
    <w:p w:rsidR="007F1437" w:rsidRPr="00A0537C" w:rsidRDefault="00A0537C" w:rsidP="00A0537C">
      <w:pPr>
        <w:tabs>
          <w:tab w:val="left" w:pos="993"/>
        </w:tabs>
        <w:jc w:val="both"/>
        <w:rPr>
          <w:rFonts w:ascii="Cambria" w:hAnsi="Cambria"/>
        </w:rPr>
      </w:pPr>
      <w:r w:rsidRPr="00A0537C">
        <w:rPr>
          <w:rFonts w:ascii="Cambria" w:hAnsi="Cambria"/>
        </w:rPr>
        <w:tab/>
      </w:r>
      <w:r>
        <w:rPr>
          <w:rFonts w:ascii="Cambria" w:hAnsi="Cambria"/>
        </w:rPr>
        <w:t>С</w:t>
      </w:r>
      <w:r w:rsidR="007F1437" w:rsidRPr="00A0537C">
        <w:rPr>
          <w:rFonts w:ascii="Cambria" w:hAnsi="Cambria"/>
        </w:rPr>
        <w:t xml:space="preserve">тимулирането на този осъден с </w:t>
      </w:r>
      <w:r>
        <w:rPr>
          <w:rFonts w:ascii="Cambria" w:hAnsi="Cambria"/>
        </w:rPr>
        <w:t xml:space="preserve">частично </w:t>
      </w:r>
      <w:r w:rsidR="007F1437" w:rsidRPr="00A0537C">
        <w:rPr>
          <w:rFonts w:ascii="Cambria" w:hAnsi="Cambria"/>
        </w:rPr>
        <w:t xml:space="preserve">помилване би имало насърчителен ефект не само за неговото лично поправяне, но и за останалите лишени от свобода, с които той е в постоянен активен контакт и на които би </w:t>
      </w:r>
      <w:r>
        <w:rPr>
          <w:rFonts w:ascii="Cambria" w:hAnsi="Cambria"/>
        </w:rPr>
        <w:t>бил</w:t>
      </w:r>
      <w:r w:rsidR="007F1437" w:rsidRPr="00A0537C">
        <w:rPr>
          <w:rFonts w:ascii="Cambria" w:hAnsi="Cambria"/>
        </w:rPr>
        <w:t xml:space="preserve"> позитивен пример. Такова помилване не е прошка за извършеното, нито представлява омаловажаване на тежестта му, а е израз на признание за усилията, които осъденият полага за своето и чуждото поправяне, и подкрепа за постигнатите резултати. </w:t>
      </w:r>
    </w:p>
    <w:p w:rsidR="002A6283" w:rsidRPr="00A0537C" w:rsidRDefault="002A6283" w:rsidP="002A6283">
      <w:pPr>
        <w:pStyle w:val="ListParagraph"/>
        <w:ind w:left="0" w:firstLine="708"/>
        <w:jc w:val="both"/>
        <w:rPr>
          <w:rFonts w:ascii="Cambria" w:hAnsi="Cambria"/>
        </w:rPr>
      </w:pPr>
      <w:r w:rsidRPr="00A0537C">
        <w:rPr>
          <w:rFonts w:ascii="Cambria" w:hAnsi="Cambria"/>
        </w:rPr>
        <w:t xml:space="preserve">С </w:t>
      </w:r>
      <w:r w:rsidR="00F56105" w:rsidRPr="00A0537C">
        <w:rPr>
          <w:rFonts w:ascii="Cambria" w:hAnsi="Cambria"/>
          <w:b/>
        </w:rPr>
        <w:t>Указ № 92</w:t>
      </w:r>
      <w:r w:rsidRPr="00A0537C">
        <w:rPr>
          <w:rFonts w:ascii="Cambria" w:hAnsi="Cambria"/>
          <w:b/>
        </w:rPr>
        <w:t>/</w:t>
      </w:r>
      <w:r w:rsidR="00F56105" w:rsidRPr="00A0537C">
        <w:rPr>
          <w:rFonts w:ascii="Cambria" w:hAnsi="Cambria"/>
          <w:b/>
        </w:rPr>
        <w:t>25</w:t>
      </w:r>
      <w:r w:rsidRPr="00A0537C">
        <w:rPr>
          <w:rFonts w:ascii="Cambria" w:hAnsi="Cambria"/>
          <w:b/>
        </w:rPr>
        <w:t>.0</w:t>
      </w:r>
      <w:r w:rsidR="00F56105" w:rsidRPr="00A0537C">
        <w:rPr>
          <w:rFonts w:ascii="Cambria" w:hAnsi="Cambria"/>
          <w:b/>
        </w:rPr>
        <w:t>5</w:t>
      </w:r>
      <w:r w:rsidRPr="00A0537C">
        <w:rPr>
          <w:rFonts w:ascii="Cambria" w:hAnsi="Cambria"/>
          <w:b/>
        </w:rPr>
        <w:t>.2015 г.</w:t>
      </w:r>
      <w:r w:rsidRPr="00A0537C">
        <w:rPr>
          <w:rFonts w:ascii="Cambria" w:hAnsi="Cambria"/>
        </w:rPr>
        <w:t xml:space="preserve"> молителят е помилван </w:t>
      </w:r>
      <w:r w:rsidR="00FA0C21">
        <w:rPr>
          <w:rFonts w:ascii="Cambria" w:hAnsi="Cambria"/>
        </w:rPr>
        <w:t xml:space="preserve">частично </w:t>
      </w:r>
      <w:r w:rsidRPr="00A0537C">
        <w:rPr>
          <w:rFonts w:ascii="Cambria" w:hAnsi="Cambria"/>
        </w:rPr>
        <w:t xml:space="preserve">с </w:t>
      </w:r>
      <w:r w:rsidR="00F56105" w:rsidRPr="00A0537C">
        <w:rPr>
          <w:rFonts w:ascii="Cambria" w:hAnsi="Cambria"/>
        </w:rPr>
        <w:t xml:space="preserve">2 години от </w:t>
      </w:r>
      <w:r w:rsidRPr="00A0537C">
        <w:rPr>
          <w:rFonts w:ascii="Cambria" w:hAnsi="Cambria"/>
        </w:rPr>
        <w:t>остатъка от наказанието си</w:t>
      </w:r>
      <w:r w:rsidR="00D77FB8">
        <w:rPr>
          <w:rFonts w:ascii="Cambria" w:hAnsi="Cambria"/>
        </w:rPr>
        <w:t xml:space="preserve"> – около 6 години и 9 месеца</w:t>
      </w:r>
      <w:r w:rsidRPr="00A0537C">
        <w:rPr>
          <w:rFonts w:ascii="Cambria" w:hAnsi="Cambria"/>
        </w:rPr>
        <w:t>.</w:t>
      </w:r>
    </w:p>
    <w:p w:rsidR="00F56105" w:rsidRPr="00A50201" w:rsidRDefault="00F56105" w:rsidP="002A6283">
      <w:pPr>
        <w:ind w:firstLine="708"/>
        <w:jc w:val="both"/>
        <w:rPr>
          <w:rFonts w:ascii="Cambria" w:hAnsi="Cambria"/>
        </w:rPr>
      </w:pPr>
    </w:p>
    <w:p w:rsidR="00FA0C21" w:rsidRPr="00FA0C21" w:rsidRDefault="00F56105" w:rsidP="00FA0C21">
      <w:pPr>
        <w:pStyle w:val="ListParagraph"/>
        <w:numPr>
          <w:ilvl w:val="0"/>
          <w:numId w:val="33"/>
        </w:numPr>
        <w:jc w:val="both"/>
        <w:rPr>
          <w:rFonts w:asciiTheme="majorHAnsi" w:hAnsiTheme="majorHAnsi"/>
        </w:rPr>
      </w:pPr>
      <w:r w:rsidRPr="00FA0C21">
        <w:rPr>
          <w:rFonts w:asciiTheme="majorHAnsi" w:hAnsiTheme="majorHAnsi"/>
        </w:rPr>
        <w:t>Молителят е 52-годишен чужд гражданин, осъден през 1995 г. в задо</w:t>
      </w:r>
      <w:r w:rsidR="00FA0C21" w:rsidRPr="00FA0C21">
        <w:rPr>
          <w:rFonts w:asciiTheme="majorHAnsi" w:hAnsiTheme="majorHAnsi"/>
        </w:rPr>
        <w:t xml:space="preserve">чно производство за  </w:t>
      </w:r>
      <w:r w:rsidR="007F1437" w:rsidRPr="00FA0C21">
        <w:rPr>
          <w:rFonts w:asciiTheme="majorHAnsi" w:hAnsiTheme="majorHAnsi"/>
        </w:rPr>
        <w:t xml:space="preserve">пренасяне на </w:t>
      </w:r>
      <w:r w:rsidR="00D77FB8" w:rsidRPr="00FA0C21">
        <w:rPr>
          <w:rFonts w:asciiTheme="majorHAnsi" w:hAnsiTheme="majorHAnsi"/>
        </w:rPr>
        <w:t>кокаин</w:t>
      </w:r>
      <w:r w:rsidR="00FA0C21" w:rsidRPr="00FA0C21">
        <w:rPr>
          <w:rFonts w:asciiTheme="majorHAnsi" w:hAnsiTheme="majorHAnsi"/>
        </w:rPr>
        <w:t xml:space="preserve"> през границата</w:t>
      </w:r>
      <w:r w:rsidRPr="00FA0C21">
        <w:rPr>
          <w:rFonts w:asciiTheme="majorHAnsi" w:hAnsiTheme="majorHAnsi"/>
        </w:rPr>
        <w:t xml:space="preserve"> извършено преди 23 години. Присъдата не му </w:t>
      </w:r>
      <w:r w:rsidR="00FA0C21" w:rsidRPr="00FA0C21">
        <w:rPr>
          <w:rFonts w:asciiTheme="majorHAnsi" w:hAnsiTheme="majorHAnsi"/>
        </w:rPr>
        <w:t xml:space="preserve">била </w:t>
      </w:r>
      <w:r w:rsidRPr="00FA0C21">
        <w:rPr>
          <w:rFonts w:asciiTheme="majorHAnsi" w:hAnsiTheme="majorHAnsi"/>
        </w:rPr>
        <w:t>станала изв</w:t>
      </w:r>
      <w:r w:rsidR="00FA0C21" w:rsidRPr="00FA0C21">
        <w:rPr>
          <w:rFonts w:asciiTheme="majorHAnsi" w:hAnsiTheme="majorHAnsi"/>
        </w:rPr>
        <w:t xml:space="preserve">естна в срока на обжалването и </w:t>
      </w:r>
      <w:r w:rsidRPr="00FA0C21">
        <w:rPr>
          <w:rFonts w:asciiTheme="majorHAnsi" w:hAnsiTheme="majorHAnsi"/>
        </w:rPr>
        <w:t xml:space="preserve"> влязла в сила</w:t>
      </w:r>
      <w:r w:rsidR="007F1437" w:rsidRPr="00FA0C21">
        <w:rPr>
          <w:rFonts w:asciiTheme="majorHAnsi" w:hAnsiTheme="majorHAnsi"/>
        </w:rPr>
        <w:t>,</w:t>
      </w:r>
      <w:r w:rsidRPr="00FA0C21">
        <w:rPr>
          <w:rFonts w:asciiTheme="majorHAnsi" w:hAnsiTheme="majorHAnsi"/>
        </w:rPr>
        <w:t xml:space="preserve"> без </w:t>
      </w:r>
      <w:r w:rsidR="007F1437" w:rsidRPr="00FA0C21">
        <w:rPr>
          <w:rFonts w:asciiTheme="majorHAnsi" w:hAnsiTheme="majorHAnsi"/>
        </w:rPr>
        <w:t>да е оспорена</w:t>
      </w:r>
      <w:r w:rsidR="00D77FB8" w:rsidRPr="00FA0C21">
        <w:rPr>
          <w:rFonts w:asciiTheme="majorHAnsi" w:hAnsiTheme="majorHAnsi"/>
        </w:rPr>
        <w:t>. По време на про</w:t>
      </w:r>
      <w:r w:rsidR="00FA0C21" w:rsidRPr="00FA0C21">
        <w:rPr>
          <w:rFonts w:asciiTheme="majorHAnsi" w:hAnsiTheme="majorHAnsi"/>
        </w:rPr>
        <w:t>цеса молителят</w:t>
      </w:r>
      <w:r w:rsidR="00D77FB8" w:rsidRPr="00FA0C21">
        <w:rPr>
          <w:rFonts w:asciiTheme="majorHAnsi" w:hAnsiTheme="majorHAnsi"/>
        </w:rPr>
        <w:t xml:space="preserve"> напуснал страната с убеждение</w:t>
      </w:r>
      <w:r w:rsidR="00FA0C21" w:rsidRPr="00FA0C21">
        <w:rPr>
          <w:rFonts w:asciiTheme="majorHAnsi" w:hAnsiTheme="majorHAnsi"/>
        </w:rPr>
        <w:t>то, че обвиненията срещу него били</w:t>
      </w:r>
      <w:r w:rsidR="00D77FB8" w:rsidRPr="00FA0C21">
        <w:rPr>
          <w:rFonts w:asciiTheme="majorHAnsi" w:hAnsiTheme="majorHAnsi"/>
        </w:rPr>
        <w:t xml:space="preserve"> свалени</w:t>
      </w:r>
      <w:r w:rsidRPr="00FA0C21">
        <w:rPr>
          <w:rFonts w:asciiTheme="majorHAnsi" w:hAnsiTheme="majorHAnsi"/>
        </w:rPr>
        <w:t>.</w:t>
      </w:r>
      <w:r w:rsidR="007F1437" w:rsidRPr="00FA0C21">
        <w:rPr>
          <w:rFonts w:asciiTheme="majorHAnsi" w:hAnsiTheme="majorHAnsi"/>
        </w:rPr>
        <w:t xml:space="preserve"> </w:t>
      </w:r>
      <w:r w:rsidR="00A67B3D" w:rsidRPr="00FA0C21">
        <w:rPr>
          <w:rFonts w:asciiTheme="majorHAnsi" w:hAnsiTheme="majorHAnsi"/>
        </w:rPr>
        <w:t xml:space="preserve"> </w:t>
      </w:r>
    </w:p>
    <w:p w:rsidR="007F1437" w:rsidRDefault="00F56105" w:rsidP="007F1437">
      <w:pPr>
        <w:ind w:firstLine="708"/>
        <w:jc w:val="both"/>
        <w:rPr>
          <w:rFonts w:asciiTheme="majorHAnsi" w:hAnsiTheme="majorHAnsi"/>
        </w:rPr>
      </w:pPr>
      <w:r w:rsidRPr="007F1437">
        <w:rPr>
          <w:rFonts w:asciiTheme="majorHAnsi" w:hAnsiTheme="majorHAnsi"/>
        </w:rPr>
        <w:lastRenderedPageBreak/>
        <w:t>Затворът дава положителна характеристик</w:t>
      </w:r>
      <w:r w:rsidR="007F1437" w:rsidRPr="007F1437">
        <w:rPr>
          <w:rFonts w:asciiTheme="majorHAnsi" w:hAnsiTheme="majorHAnsi"/>
        </w:rPr>
        <w:t>а</w:t>
      </w:r>
      <w:r w:rsidRPr="007F1437">
        <w:rPr>
          <w:rFonts w:asciiTheme="majorHAnsi" w:hAnsiTheme="majorHAnsi"/>
        </w:rPr>
        <w:t xml:space="preserve"> на молителя, като отчита нисък риск от рецидив. </w:t>
      </w:r>
      <w:r w:rsidR="007F1437" w:rsidRPr="007F1437">
        <w:rPr>
          <w:rFonts w:asciiTheme="majorHAnsi" w:hAnsiTheme="majorHAnsi"/>
        </w:rPr>
        <w:t>Към датата на произнасяне на Комисията той е изтърпял 2 години и 3 месеца лишаване от свобода от общо 12 години.</w:t>
      </w:r>
    </w:p>
    <w:p w:rsidR="00FE45A3" w:rsidRDefault="007F1437" w:rsidP="007F1437">
      <w:pPr>
        <w:ind w:firstLine="708"/>
        <w:jc w:val="both"/>
        <w:rPr>
          <w:rFonts w:asciiTheme="majorHAnsi" w:hAnsiTheme="majorHAnsi"/>
        </w:rPr>
      </w:pPr>
      <w:r w:rsidRPr="007F1437">
        <w:rPr>
          <w:rFonts w:asciiTheme="majorHAnsi" w:hAnsiTheme="majorHAnsi"/>
        </w:rPr>
        <w:t xml:space="preserve">При описаните обстоятелства Комисията </w:t>
      </w:r>
      <w:r w:rsidR="004B3CD1">
        <w:rPr>
          <w:rFonts w:asciiTheme="majorHAnsi" w:hAnsiTheme="majorHAnsi"/>
        </w:rPr>
        <w:t xml:space="preserve">предлага помилване с мотиви : </w:t>
      </w:r>
      <w:r w:rsidRPr="007F1437">
        <w:rPr>
          <w:rFonts w:asciiTheme="majorHAnsi" w:hAnsiTheme="majorHAnsi"/>
        </w:rPr>
        <w:t xml:space="preserve"> м</w:t>
      </w:r>
      <w:r w:rsidR="00F56105" w:rsidRPr="007F1437">
        <w:rPr>
          <w:rFonts w:asciiTheme="majorHAnsi" w:hAnsiTheme="majorHAnsi"/>
        </w:rPr>
        <w:t>олителят не представлява заплаха за обществото</w:t>
      </w:r>
      <w:r w:rsidRPr="007F1437">
        <w:rPr>
          <w:rFonts w:asciiTheme="majorHAnsi" w:hAnsiTheme="majorHAnsi"/>
        </w:rPr>
        <w:t xml:space="preserve"> и </w:t>
      </w:r>
      <w:r w:rsidR="00F56105" w:rsidRPr="007F1437">
        <w:rPr>
          <w:rFonts w:asciiTheme="majorHAnsi" w:hAnsiTheme="majorHAnsi"/>
        </w:rPr>
        <w:t>целите на наказание</w:t>
      </w:r>
      <w:r w:rsidRPr="007F1437">
        <w:rPr>
          <w:rFonts w:asciiTheme="majorHAnsi" w:hAnsiTheme="majorHAnsi"/>
        </w:rPr>
        <w:t>то ,,лишаване от свобода“ спрямо него</w:t>
      </w:r>
      <w:r w:rsidR="00F56105" w:rsidRPr="007F1437">
        <w:rPr>
          <w:rFonts w:asciiTheme="majorHAnsi" w:hAnsiTheme="majorHAnsi"/>
        </w:rPr>
        <w:t xml:space="preserve"> са постигнати</w:t>
      </w:r>
      <w:r w:rsidR="00FE45A3">
        <w:rPr>
          <w:rFonts w:asciiTheme="majorHAnsi" w:hAnsiTheme="majorHAnsi"/>
        </w:rPr>
        <w:t>, включително с привеждане на присъдата в изпълнение след продължителен период от време.</w:t>
      </w:r>
      <w:r w:rsidRPr="007F1437">
        <w:rPr>
          <w:rFonts w:asciiTheme="majorHAnsi" w:hAnsiTheme="majorHAnsi"/>
        </w:rPr>
        <w:t xml:space="preserve"> </w:t>
      </w:r>
    </w:p>
    <w:p w:rsidR="002A6283" w:rsidRPr="007F1437" w:rsidRDefault="00F56105" w:rsidP="007F1437">
      <w:pPr>
        <w:ind w:firstLine="708"/>
        <w:jc w:val="both"/>
        <w:rPr>
          <w:rFonts w:asciiTheme="majorHAnsi" w:hAnsiTheme="majorHAnsi"/>
        </w:rPr>
      </w:pPr>
      <w:r>
        <w:rPr>
          <w:rFonts w:ascii="Cambria" w:hAnsi="Cambria"/>
        </w:rPr>
        <w:t xml:space="preserve">Вицепрезидентът е </w:t>
      </w:r>
      <w:r w:rsidR="00B630E3">
        <w:rPr>
          <w:rFonts w:ascii="Cambria" w:hAnsi="Cambria"/>
        </w:rPr>
        <w:t>отказал</w:t>
      </w:r>
      <w:r>
        <w:rPr>
          <w:rFonts w:ascii="Cambria" w:hAnsi="Cambria"/>
        </w:rPr>
        <w:t xml:space="preserve"> помилване</w:t>
      </w:r>
      <w:r w:rsidR="002A6283" w:rsidRPr="00A50201">
        <w:rPr>
          <w:rFonts w:ascii="Cambria" w:hAnsi="Cambria"/>
        </w:rPr>
        <w:t>.</w:t>
      </w:r>
    </w:p>
    <w:p w:rsidR="002E77D6" w:rsidRPr="009C3004" w:rsidRDefault="002E77D6" w:rsidP="002E77D6">
      <w:pPr>
        <w:ind w:firstLine="708"/>
        <w:jc w:val="both"/>
        <w:rPr>
          <w:rFonts w:asciiTheme="majorHAnsi" w:hAnsiTheme="majorHAnsi"/>
        </w:rPr>
      </w:pPr>
    </w:p>
    <w:p w:rsidR="001F67EB" w:rsidRPr="0044379E" w:rsidRDefault="001F67EB" w:rsidP="001F67EB">
      <w:pPr>
        <w:ind w:firstLine="709"/>
        <w:jc w:val="both"/>
        <w:rPr>
          <w:rFonts w:asciiTheme="majorHAnsi" w:hAnsiTheme="majorHAnsi"/>
        </w:rPr>
      </w:pPr>
    </w:p>
    <w:p w:rsidR="001F67EB" w:rsidRPr="00705C66" w:rsidRDefault="00D3610C" w:rsidP="00705C66">
      <w:pPr>
        <w:pStyle w:val="ListParagraph"/>
        <w:numPr>
          <w:ilvl w:val="0"/>
          <w:numId w:val="26"/>
        </w:numPr>
        <w:rPr>
          <w:rFonts w:asciiTheme="majorHAnsi" w:hAnsiTheme="majorHAnsi"/>
          <w:b/>
          <w:sz w:val="28"/>
          <w:szCs w:val="28"/>
        </w:rPr>
      </w:pPr>
      <w:r w:rsidRPr="00705C66">
        <w:rPr>
          <w:rFonts w:asciiTheme="majorHAnsi" w:hAnsiTheme="majorHAnsi"/>
          <w:b/>
          <w:sz w:val="28"/>
          <w:szCs w:val="28"/>
        </w:rPr>
        <w:t>ДОПЪЛНИТЕЛНИ</w:t>
      </w:r>
      <w:r w:rsidR="00476C51" w:rsidRPr="00705C66">
        <w:rPr>
          <w:rFonts w:asciiTheme="majorHAnsi" w:hAnsiTheme="majorHAnsi"/>
          <w:b/>
          <w:sz w:val="28"/>
          <w:szCs w:val="28"/>
        </w:rPr>
        <w:t xml:space="preserve"> ДЕЙНОСТИ И СТАЖАНТСКО ОБУЧЕНИЕ</w:t>
      </w:r>
    </w:p>
    <w:p w:rsidR="00D3610C" w:rsidRDefault="00D3610C" w:rsidP="00762402">
      <w:pPr>
        <w:ind w:firstLine="708"/>
        <w:jc w:val="both"/>
        <w:rPr>
          <w:rFonts w:asciiTheme="majorHAnsi" w:hAnsiTheme="majorHAnsi"/>
        </w:rPr>
      </w:pPr>
    </w:p>
    <w:p w:rsidR="002A6283" w:rsidRDefault="002E77D6" w:rsidP="002E77D6">
      <w:pPr>
        <w:pStyle w:val="ListParagraph"/>
        <w:ind w:left="0" w:firstLine="708"/>
        <w:jc w:val="both"/>
        <w:rPr>
          <w:rFonts w:ascii="Cambria" w:hAnsi="Cambria"/>
        </w:rPr>
      </w:pPr>
      <w:r w:rsidRPr="002E77D6">
        <w:rPr>
          <w:rFonts w:ascii="Cambria" w:hAnsi="Cambria"/>
        </w:rPr>
        <w:t xml:space="preserve">През </w:t>
      </w:r>
      <w:r w:rsidR="00F56105">
        <w:rPr>
          <w:rFonts w:ascii="Cambria" w:hAnsi="Cambria"/>
        </w:rPr>
        <w:t>второто</w:t>
      </w:r>
      <w:r w:rsidR="002A6283">
        <w:rPr>
          <w:rFonts w:ascii="Cambria" w:hAnsi="Cambria"/>
        </w:rPr>
        <w:t xml:space="preserve"> тримесечие на </w:t>
      </w:r>
      <w:r w:rsidRPr="002E77D6">
        <w:rPr>
          <w:rFonts w:ascii="Cambria" w:hAnsi="Cambria"/>
        </w:rPr>
        <w:t>201</w:t>
      </w:r>
      <w:r w:rsidR="002A6283">
        <w:rPr>
          <w:rFonts w:ascii="Cambria" w:hAnsi="Cambria"/>
        </w:rPr>
        <w:t>5</w:t>
      </w:r>
      <w:r w:rsidRPr="002E77D6">
        <w:rPr>
          <w:rFonts w:ascii="Cambria" w:hAnsi="Cambria"/>
        </w:rPr>
        <w:t xml:space="preserve"> </w:t>
      </w:r>
      <w:r w:rsidR="002A6283">
        <w:rPr>
          <w:rFonts w:ascii="Cambria" w:hAnsi="Cambria"/>
        </w:rPr>
        <w:t xml:space="preserve">г. към Комисията завърши стажът на </w:t>
      </w:r>
      <w:r w:rsidR="00FE45A3">
        <w:rPr>
          <w:rFonts w:ascii="Cambria" w:hAnsi="Cambria"/>
        </w:rPr>
        <w:t>четирима</w:t>
      </w:r>
      <w:r w:rsidR="002A6283">
        <w:rPr>
          <w:rFonts w:ascii="Cambria" w:hAnsi="Cambria"/>
        </w:rPr>
        <w:t xml:space="preserve"> стажанти</w:t>
      </w:r>
      <w:r w:rsidR="00FE45A3">
        <w:rPr>
          <w:rFonts w:ascii="Cambria" w:hAnsi="Cambria"/>
        </w:rPr>
        <w:t>.  З</w:t>
      </w:r>
      <w:r w:rsidR="002A6283">
        <w:rPr>
          <w:rFonts w:ascii="Cambria" w:hAnsi="Cambria"/>
        </w:rPr>
        <w:t>апо</w:t>
      </w:r>
      <w:r w:rsidR="00FE45A3">
        <w:rPr>
          <w:rFonts w:ascii="Cambria" w:hAnsi="Cambria"/>
        </w:rPr>
        <w:t>чна стаж нов екип от четирима</w:t>
      </w:r>
      <w:r w:rsidR="002A6283">
        <w:rPr>
          <w:rFonts w:ascii="Cambria" w:hAnsi="Cambria"/>
        </w:rPr>
        <w:t xml:space="preserve"> стажанти. </w:t>
      </w:r>
    </w:p>
    <w:p w:rsidR="002A6283" w:rsidRDefault="002A6283" w:rsidP="002E77D6">
      <w:pPr>
        <w:pStyle w:val="ListParagraph"/>
        <w:ind w:left="0"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В рамките на стажантското обучение </w:t>
      </w:r>
      <w:r w:rsidR="00F56105">
        <w:rPr>
          <w:rFonts w:ascii="Cambria" w:hAnsi="Cambria"/>
        </w:rPr>
        <w:t>продължава</w:t>
      </w:r>
      <w:r>
        <w:rPr>
          <w:rFonts w:ascii="Cambria" w:hAnsi="Cambria"/>
        </w:rPr>
        <w:t xml:space="preserve"> изследване на практика</w:t>
      </w:r>
      <w:r w:rsidR="00F56105">
        <w:rPr>
          <w:rFonts w:ascii="Cambria" w:hAnsi="Cambria"/>
        </w:rPr>
        <w:t xml:space="preserve">та по помилване по отношение </w:t>
      </w:r>
      <w:r>
        <w:rPr>
          <w:rFonts w:ascii="Cambria" w:hAnsi="Cambria"/>
        </w:rPr>
        <w:t xml:space="preserve">на извършители на трафик на хора. </w:t>
      </w:r>
    </w:p>
    <w:p w:rsidR="000E0546" w:rsidRDefault="000E0546" w:rsidP="00D3610C">
      <w:pPr>
        <w:ind w:firstLine="708"/>
        <w:jc w:val="both"/>
        <w:rPr>
          <w:rFonts w:asciiTheme="majorHAnsi" w:hAnsiTheme="majorHAnsi"/>
        </w:rPr>
      </w:pPr>
    </w:p>
    <w:p w:rsidR="00D3610C" w:rsidRPr="006540EF" w:rsidRDefault="00D3610C" w:rsidP="00D3610C">
      <w:pPr>
        <w:ind w:firstLine="708"/>
        <w:jc w:val="both"/>
        <w:rPr>
          <w:rFonts w:asciiTheme="majorHAnsi" w:hAnsiTheme="majorHAnsi"/>
          <w:b/>
        </w:rPr>
      </w:pPr>
    </w:p>
    <w:p w:rsidR="00EF3501" w:rsidRDefault="00EF3501" w:rsidP="00D3610C">
      <w:pPr>
        <w:ind w:firstLine="708"/>
        <w:jc w:val="both"/>
        <w:rPr>
          <w:rFonts w:asciiTheme="majorHAnsi" w:hAnsiTheme="majorHAnsi"/>
        </w:rPr>
      </w:pPr>
    </w:p>
    <w:sectPr w:rsidR="00EF3501" w:rsidSect="00E411D2">
      <w:headerReference w:type="default" r:id="rId16"/>
      <w:footerReference w:type="even" r:id="rId17"/>
      <w:footerReference w:type="default" r:id="rId18"/>
      <w:pgSz w:w="11906" w:h="16838"/>
      <w:pgMar w:top="1418" w:right="902" w:bottom="1418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378" w:rsidRDefault="00965378">
      <w:r>
        <w:separator/>
      </w:r>
    </w:p>
  </w:endnote>
  <w:endnote w:type="continuationSeparator" w:id="0">
    <w:p w:rsidR="00965378" w:rsidRDefault="0096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14D" w:rsidRDefault="004B314D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314D" w:rsidRDefault="004B314D" w:rsidP="002711C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14D" w:rsidRDefault="004B314D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7B91">
      <w:rPr>
        <w:rStyle w:val="PageNumber"/>
        <w:noProof/>
      </w:rPr>
      <w:t>6</w:t>
    </w:r>
    <w:r>
      <w:rPr>
        <w:rStyle w:val="PageNumber"/>
      </w:rPr>
      <w:fldChar w:fldCharType="end"/>
    </w:r>
  </w:p>
  <w:p w:rsidR="004B314D" w:rsidRPr="005324D6" w:rsidRDefault="004B314D" w:rsidP="002711C3">
    <w:pPr>
      <w:pStyle w:val="Header"/>
      <w:ind w:left="-851" w:right="360"/>
      <w:jc w:val="both"/>
      <w:rPr>
        <w:sz w:val="22"/>
        <w:szCs w:val="22"/>
      </w:rPr>
    </w:pPr>
  </w:p>
  <w:p w:rsidR="004B314D" w:rsidRDefault="004B31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378" w:rsidRDefault="00965378">
      <w:r>
        <w:separator/>
      </w:r>
    </w:p>
  </w:footnote>
  <w:footnote w:type="continuationSeparator" w:id="0">
    <w:p w:rsidR="00965378" w:rsidRDefault="0096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14D" w:rsidRDefault="004B314D" w:rsidP="001E7C52">
    <w:pPr>
      <w:pStyle w:val="Header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 xml:space="preserve">ТРИМЕСЕЧЕН ОТЧЕТ                                         </w:t>
    </w:r>
    <w:r>
      <w:rPr>
        <w:rFonts w:asciiTheme="majorHAnsi" w:hAnsiTheme="majorHAnsi"/>
        <w:b/>
        <w:sz w:val="20"/>
        <w:szCs w:val="20"/>
      </w:rPr>
      <w:tab/>
    </w:r>
    <w:r>
      <w:rPr>
        <w:rFonts w:asciiTheme="majorHAnsi" w:hAnsiTheme="majorHAnsi"/>
        <w:b/>
        <w:sz w:val="20"/>
        <w:szCs w:val="20"/>
      </w:rPr>
      <w:tab/>
      <w:t xml:space="preserve">       </w:t>
    </w:r>
    <w:r>
      <w:rPr>
        <w:rFonts w:asciiTheme="majorHAnsi" w:hAnsiTheme="majorHAnsi"/>
        <w:b/>
        <w:sz w:val="20"/>
        <w:szCs w:val="20"/>
        <w:lang w:val="en-GB"/>
      </w:rPr>
      <w:t xml:space="preserve">                                           </w:t>
    </w:r>
    <w:r>
      <w:rPr>
        <w:rFonts w:asciiTheme="majorHAnsi" w:hAnsiTheme="majorHAnsi"/>
        <w:b/>
        <w:sz w:val="20"/>
        <w:szCs w:val="20"/>
      </w:rPr>
      <w:t xml:space="preserve">    КОМИСИЯ ПО ПОМИЛВАНЕТО ПРИ </w:t>
    </w:r>
  </w:p>
  <w:p w:rsidR="004B314D" w:rsidRDefault="004B314D" w:rsidP="003A7AFE">
    <w:pPr>
      <w:pStyle w:val="Header"/>
      <w:pBdr>
        <w:bottom w:val="single" w:sz="6" w:space="1" w:color="auto"/>
      </w:pBdr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 xml:space="preserve">ЯНУАРИ – МАРТ 2015 г.     </w:t>
    </w:r>
    <w:r>
      <w:rPr>
        <w:rFonts w:asciiTheme="majorHAnsi" w:hAnsiTheme="majorHAnsi"/>
        <w:b/>
        <w:sz w:val="20"/>
        <w:szCs w:val="20"/>
      </w:rPr>
      <w:tab/>
      <w:t xml:space="preserve">                                                                                       ПРЕЗИДЕНТА НА РЕПУБЛИКА БЪЛГАРИЯ</w:t>
    </w:r>
  </w:p>
  <w:p w:rsidR="004B314D" w:rsidRPr="001E7C52" w:rsidRDefault="004B314D" w:rsidP="001E7C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6630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181093"/>
    <w:multiLevelType w:val="hybridMultilevel"/>
    <w:tmpl w:val="74660760"/>
    <w:lvl w:ilvl="0" w:tplc="C3D413F8">
      <w:start w:val="26"/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 w15:restartNumberingAfterBreak="0">
    <w:nsid w:val="107C1790"/>
    <w:multiLevelType w:val="hybridMultilevel"/>
    <w:tmpl w:val="ED22FA5C"/>
    <w:lvl w:ilvl="0" w:tplc="C3F40E6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0E97984"/>
    <w:multiLevelType w:val="hybridMultilevel"/>
    <w:tmpl w:val="DC16F0DC"/>
    <w:lvl w:ilvl="0" w:tplc="0ECC0C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4443348"/>
    <w:multiLevelType w:val="hybridMultilevel"/>
    <w:tmpl w:val="8F927A84"/>
    <w:lvl w:ilvl="0" w:tplc="29DC5A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0917DF"/>
    <w:multiLevelType w:val="hybridMultilevel"/>
    <w:tmpl w:val="B39C0618"/>
    <w:lvl w:ilvl="0" w:tplc="74FECAF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7280DEB"/>
    <w:multiLevelType w:val="hybridMultilevel"/>
    <w:tmpl w:val="A628DE2E"/>
    <w:lvl w:ilvl="0" w:tplc="11BEE2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175D0052"/>
    <w:multiLevelType w:val="hybridMultilevel"/>
    <w:tmpl w:val="FDCE7588"/>
    <w:lvl w:ilvl="0" w:tplc="5E067C2A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8D67FC3"/>
    <w:multiLevelType w:val="hybridMultilevel"/>
    <w:tmpl w:val="D0782CAE"/>
    <w:lvl w:ilvl="0" w:tplc="A7DAE864">
      <w:start w:val="3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EFB2AA1"/>
    <w:multiLevelType w:val="multilevel"/>
    <w:tmpl w:val="C00868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0" w15:restartNumberingAfterBreak="0">
    <w:nsid w:val="1F360495"/>
    <w:multiLevelType w:val="multilevel"/>
    <w:tmpl w:val="7D4C3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1" w15:restartNumberingAfterBreak="0">
    <w:nsid w:val="21172606"/>
    <w:multiLevelType w:val="hybridMultilevel"/>
    <w:tmpl w:val="0C125A6E"/>
    <w:lvl w:ilvl="0" w:tplc="DFCE8EC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A2EEB"/>
    <w:multiLevelType w:val="hybridMultilevel"/>
    <w:tmpl w:val="6916116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6B23F61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600100"/>
    <w:multiLevelType w:val="hybridMultilevel"/>
    <w:tmpl w:val="1608B680"/>
    <w:lvl w:ilvl="0" w:tplc="0402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5" w15:restartNumberingAfterBreak="0">
    <w:nsid w:val="321C18D7"/>
    <w:multiLevelType w:val="hybridMultilevel"/>
    <w:tmpl w:val="038A3A8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1F6680"/>
    <w:multiLevelType w:val="multilevel"/>
    <w:tmpl w:val="F90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7D4082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8" w15:restartNumberingAfterBreak="0">
    <w:nsid w:val="3C8B5ED5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E2E23A3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0" w15:restartNumberingAfterBreak="0">
    <w:nsid w:val="420D372E"/>
    <w:multiLevelType w:val="hybridMultilevel"/>
    <w:tmpl w:val="8AB4C5C6"/>
    <w:lvl w:ilvl="0" w:tplc="5F94417C">
      <w:start w:val="4"/>
      <w:numFmt w:val="bullet"/>
      <w:lvlText w:val="-"/>
      <w:lvlJc w:val="left"/>
      <w:pPr>
        <w:ind w:left="178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430D05DA"/>
    <w:multiLevelType w:val="hybridMultilevel"/>
    <w:tmpl w:val="C44C3C72"/>
    <w:lvl w:ilvl="0" w:tplc="A9967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794966"/>
    <w:multiLevelType w:val="hybridMultilevel"/>
    <w:tmpl w:val="3F6A3EF6"/>
    <w:lvl w:ilvl="0" w:tplc="12A2475E">
      <w:start w:val="1"/>
      <w:numFmt w:val="decimalZero"/>
      <w:lvlText w:val="%1."/>
      <w:lvlJc w:val="left"/>
      <w:pPr>
        <w:ind w:left="735" w:hanging="3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E6288"/>
    <w:multiLevelType w:val="hybridMultilevel"/>
    <w:tmpl w:val="5D8C4F7C"/>
    <w:lvl w:ilvl="0" w:tplc="E47CFD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D8234D4"/>
    <w:multiLevelType w:val="hybridMultilevel"/>
    <w:tmpl w:val="025031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3512D9"/>
    <w:multiLevelType w:val="hybridMultilevel"/>
    <w:tmpl w:val="946A0FBC"/>
    <w:lvl w:ilvl="0" w:tplc="3848A7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73001FC"/>
    <w:multiLevelType w:val="hybridMultilevel"/>
    <w:tmpl w:val="C9740518"/>
    <w:lvl w:ilvl="0" w:tplc="E78A26E0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BFE5894"/>
    <w:multiLevelType w:val="hybridMultilevel"/>
    <w:tmpl w:val="3CEEE6BA"/>
    <w:lvl w:ilvl="0" w:tplc="0A40B988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5285E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9" w15:restartNumberingAfterBreak="0">
    <w:nsid w:val="61C04BED"/>
    <w:multiLevelType w:val="hybridMultilevel"/>
    <w:tmpl w:val="222E80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582EDD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254633E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" w15:restartNumberingAfterBreak="0">
    <w:nsid w:val="75ED5D37"/>
    <w:multiLevelType w:val="multilevel"/>
    <w:tmpl w:val="6674EDB2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6" w:hanging="1800"/>
      </w:pPr>
      <w:rPr>
        <w:rFonts w:hint="default"/>
      </w:rPr>
    </w:lvl>
  </w:abstractNum>
  <w:num w:numId="1">
    <w:abstractNumId w:val="13"/>
  </w:num>
  <w:num w:numId="2">
    <w:abstractNumId w:val="31"/>
  </w:num>
  <w:num w:numId="3">
    <w:abstractNumId w:val="19"/>
  </w:num>
  <w:num w:numId="4">
    <w:abstractNumId w:val="3"/>
  </w:num>
  <w:num w:numId="5">
    <w:abstractNumId w:val="14"/>
  </w:num>
  <w:num w:numId="6">
    <w:abstractNumId w:val="4"/>
  </w:num>
  <w:num w:numId="7">
    <w:abstractNumId w:val="30"/>
  </w:num>
  <w:num w:numId="8">
    <w:abstractNumId w:val="15"/>
  </w:num>
  <w:num w:numId="9">
    <w:abstractNumId w:val="5"/>
  </w:num>
  <w:num w:numId="10">
    <w:abstractNumId w:val="7"/>
  </w:num>
  <w:num w:numId="11">
    <w:abstractNumId w:val="21"/>
  </w:num>
  <w:num w:numId="12">
    <w:abstractNumId w:val="6"/>
  </w:num>
  <w:num w:numId="13">
    <w:abstractNumId w:val="22"/>
  </w:num>
  <w:num w:numId="14">
    <w:abstractNumId w:val="27"/>
  </w:num>
  <w:num w:numId="15">
    <w:abstractNumId w:val="2"/>
  </w:num>
  <w:num w:numId="16">
    <w:abstractNumId w:val="1"/>
  </w:num>
  <w:num w:numId="17">
    <w:abstractNumId w:val="29"/>
  </w:num>
  <w:num w:numId="18">
    <w:abstractNumId w:val="24"/>
  </w:num>
  <w:num w:numId="19">
    <w:abstractNumId w:val="10"/>
  </w:num>
  <w:num w:numId="20">
    <w:abstractNumId w:val="20"/>
  </w:num>
  <w:num w:numId="21">
    <w:abstractNumId w:val="26"/>
  </w:num>
  <w:num w:numId="22">
    <w:abstractNumId w:val="0"/>
  </w:num>
  <w:num w:numId="23">
    <w:abstractNumId w:val="16"/>
  </w:num>
  <w:num w:numId="24">
    <w:abstractNumId w:val="18"/>
  </w:num>
  <w:num w:numId="25">
    <w:abstractNumId w:val="32"/>
  </w:num>
  <w:num w:numId="26">
    <w:abstractNumId w:val="17"/>
  </w:num>
  <w:num w:numId="27">
    <w:abstractNumId w:val="8"/>
  </w:num>
  <w:num w:numId="28">
    <w:abstractNumId w:val="25"/>
  </w:num>
  <w:num w:numId="29">
    <w:abstractNumId w:val="11"/>
  </w:num>
  <w:num w:numId="30">
    <w:abstractNumId w:val="28"/>
  </w:num>
  <w:num w:numId="31">
    <w:abstractNumId w:val="9"/>
  </w:num>
  <w:num w:numId="32">
    <w:abstractNumId w:val="1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84"/>
    <w:rsid w:val="00003F4F"/>
    <w:rsid w:val="0000693E"/>
    <w:rsid w:val="00010E90"/>
    <w:rsid w:val="0001113F"/>
    <w:rsid w:val="0001275A"/>
    <w:rsid w:val="00024AC9"/>
    <w:rsid w:val="00034E64"/>
    <w:rsid w:val="000410F1"/>
    <w:rsid w:val="000416DA"/>
    <w:rsid w:val="00043522"/>
    <w:rsid w:val="0004427B"/>
    <w:rsid w:val="00045CF0"/>
    <w:rsid w:val="00047325"/>
    <w:rsid w:val="000507BB"/>
    <w:rsid w:val="00050FAD"/>
    <w:rsid w:val="00057AE5"/>
    <w:rsid w:val="00060F62"/>
    <w:rsid w:val="00066C19"/>
    <w:rsid w:val="00066F23"/>
    <w:rsid w:val="00067CB0"/>
    <w:rsid w:val="00072E0B"/>
    <w:rsid w:val="00085F10"/>
    <w:rsid w:val="00092B0D"/>
    <w:rsid w:val="00095044"/>
    <w:rsid w:val="000A5EFC"/>
    <w:rsid w:val="000A6FA7"/>
    <w:rsid w:val="000B05C6"/>
    <w:rsid w:val="000B4FD2"/>
    <w:rsid w:val="000B5F16"/>
    <w:rsid w:val="000C0824"/>
    <w:rsid w:val="000C25AD"/>
    <w:rsid w:val="000C379C"/>
    <w:rsid w:val="000D0A17"/>
    <w:rsid w:val="000E0546"/>
    <w:rsid w:val="000E356B"/>
    <w:rsid w:val="000E3674"/>
    <w:rsid w:val="000F0C79"/>
    <w:rsid w:val="000F156B"/>
    <w:rsid w:val="000F4F1F"/>
    <w:rsid w:val="000F58A1"/>
    <w:rsid w:val="000F7DEC"/>
    <w:rsid w:val="00100585"/>
    <w:rsid w:val="00101A84"/>
    <w:rsid w:val="001045A0"/>
    <w:rsid w:val="001067BD"/>
    <w:rsid w:val="001125C1"/>
    <w:rsid w:val="00116D9B"/>
    <w:rsid w:val="00127A87"/>
    <w:rsid w:val="00134504"/>
    <w:rsid w:val="0013452A"/>
    <w:rsid w:val="001353E7"/>
    <w:rsid w:val="00136BD1"/>
    <w:rsid w:val="001372D1"/>
    <w:rsid w:val="00140756"/>
    <w:rsid w:val="00140A48"/>
    <w:rsid w:val="00154ACB"/>
    <w:rsid w:val="00155DD4"/>
    <w:rsid w:val="0015787C"/>
    <w:rsid w:val="001614A4"/>
    <w:rsid w:val="00164F97"/>
    <w:rsid w:val="00166B10"/>
    <w:rsid w:val="001743D8"/>
    <w:rsid w:val="00177D84"/>
    <w:rsid w:val="00180755"/>
    <w:rsid w:val="0019109D"/>
    <w:rsid w:val="00193274"/>
    <w:rsid w:val="00193725"/>
    <w:rsid w:val="001962B7"/>
    <w:rsid w:val="001A1071"/>
    <w:rsid w:val="001A1195"/>
    <w:rsid w:val="001A1D07"/>
    <w:rsid w:val="001A3BCF"/>
    <w:rsid w:val="001A790C"/>
    <w:rsid w:val="001B0C39"/>
    <w:rsid w:val="001C1E60"/>
    <w:rsid w:val="001C1EAE"/>
    <w:rsid w:val="001C2585"/>
    <w:rsid w:val="001D3640"/>
    <w:rsid w:val="001D594D"/>
    <w:rsid w:val="001D7D50"/>
    <w:rsid w:val="001E06B7"/>
    <w:rsid w:val="001E448C"/>
    <w:rsid w:val="001E5CC2"/>
    <w:rsid w:val="001E7832"/>
    <w:rsid w:val="001E7C52"/>
    <w:rsid w:val="001F3530"/>
    <w:rsid w:val="001F67EB"/>
    <w:rsid w:val="00200866"/>
    <w:rsid w:val="00200C94"/>
    <w:rsid w:val="00202078"/>
    <w:rsid w:val="002040D9"/>
    <w:rsid w:val="00204BB4"/>
    <w:rsid w:val="00207CEC"/>
    <w:rsid w:val="002109E7"/>
    <w:rsid w:val="00212254"/>
    <w:rsid w:val="00220032"/>
    <w:rsid w:val="00221C72"/>
    <w:rsid w:val="0023057B"/>
    <w:rsid w:val="00242433"/>
    <w:rsid w:val="00242C49"/>
    <w:rsid w:val="002474F7"/>
    <w:rsid w:val="00247614"/>
    <w:rsid w:val="0025055E"/>
    <w:rsid w:val="00254EAF"/>
    <w:rsid w:val="002609A3"/>
    <w:rsid w:val="00262A43"/>
    <w:rsid w:val="00265FC6"/>
    <w:rsid w:val="002711C3"/>
    <w:rsid w:val="00271EBE"/>
    <w:rsid w:val="00273859"/>
    <w:rsid w:val="00286E04"/>
    <w:rsid w:val="00296B63"/>
    <w:rsid w:val="002A1E6F"/>
    <w:rsid w:val="002A2000"/>
    <w:rsid w:val="002A6283"/>
    <w:rsid w:val="002A6284"/>
    <w:rsid w:val="002A6502"/>
    <w:rsid w:val="002A6BD2"/>
    <w:rsid w:val="002A7960"/>
    <w:rsid w:val="002B1760"/>
    <w:rsid w:val="002B3D88"/>
    <w:rsid w:val="002B7B97"/>
    <w:rsid w:val="002B7EA5"/>
    <w:rsid w:val="002C52F8"/>
    <w:rsid w:val="002C7147"/>
    <w:rsid w:val="002D69BA"/>
    <w:rsid w:val="002E28F0"/>
    <w:rsid w:val="002E77D6"/>
    <w:rsid w:val="002F23FE"/>
    <w:rsid w:val="002F5CF3"/>
    <w:rsid w:val="002F7A7F"/>
    <w:rsid w:val="003052EA"/>
    <w:rsid w:val="00307BCB"/>
    <w:rsid w:val="0032007A"/>
    <w:rsid w:val="003202B9"/>
    <w:rsid w:val="00321A29"/>
    <w:rsid w:val="003249CD"/>
    <w:rsid w:val="0032734F"/>
    <w:rsid w:val="003418BF"/>
    <w:rsid w:val="00344839"/>
    <w:rsid w:val="00352146"/>
    <w:rsid w:val="003562FA"/>
    <w:rsid w:val="00357002"/>
    <w:rsid w:val="00360FC0"/>
    <w:rsid w:val="00363B08"/>
    <w:rsid w:val="00364539"/>
    <w:rsid w:val="00364EEC"/>
    <w:rsid w:val="00373B00"/>
    <w:rsid w:val="00374BC4"/>
    <w:rsid w:val="003857AC"/>
    <w:rsid w:val="00393E2F"/>
    <w:rsid w:val="003A08C0"/>
    <w:rsid w:val="003A1FA3"/>
    <w:rsid w:val="003A6835"/>
    <w:rsid w:val="003A7AFE"/>
    <w:rsid w:val="003B159E"/>
    <w:rsid w:val="003B634C"/>
    <w:rsid w:val="003B67A2"/>
    <w:rsid w:val="003B70CB"/>
    <w:rsid w:val="003C4602"/>
    <w:rsid w:val="003D19DB"/>
    <w:rsid w:val="003D33EF"/>
    <w:rsid w:val="003E5A04"/>
    <w:rsid w:val="003E733F"/>
    <w:rsid w:val="003E7385"/>
    <w:rsid w:val="003F0071"/>
    <w:rsid w:val="003F0FEB"/>
    <w:rsid w:val="003F34FF"/>
    <w:rsid w:val="003F3E93"/>
    <w:rsid w:val="004018F0"/>
    <w:rsid w:val="00402945"/>
    <w:rsid w:val="00404834"/>
    <w:rsid w:val="00407F0D"/>
    <w:rsid w:val="00415940"/>
    <w:rsid w:val="0041769F"/>
    <w:rsid w:val="00417922"/>
    <w:rsid w:val="00417F90"/>
    <w:rsid w:val="00420F20"/>
    <w:rsid w:val="004228A4"/>
    <w:rsid w:val="00423DD2"/>
    <w:rsid w:val="00427BC0"/>
    <w:rsid w:val="00427D56"/>
    <w:rsid w:val="00433472"/>
    <w:rsid w:val="00434EF3"/>
    <w:rsid w:val="00435DB9"/>
    <w:rsid w:val="0043642D"/>
    <w:rsid w:val="00440A00"/>
    <w:rsid w:val="00442DF4"/>
    <w:rsid w:val="00444F2A"/>
    <w:rsid w:val="00451B64"/>
    <w:rsid w:val="00456704"/>
    <w:rsid w:val="0046373F"/>
    <w:rsid w:val="00471AFF"/>
    <w:rsid w:val="00474770"/>
    <w:rsid w:val="00476240"/>
    <w:rsid w:val="00476C51"/>
    <w:rsid w:val="00480732"/>
    <w:rsid w:val="0048248B"/>
    <w:rsid w:val="00485764"/>
    <w:rsid w:val="00496615"/>
    <w:rsid w:val="00497234"/>
    <w:rsid w:val="004A4921"/>
    <w:rsid w:val="004A69DF"/>
    <w:rsid w:val="004B314D"/>
    <w:rsid w:val="004B33D4"/>
    <w:rsid w:val="004B3CD1"/>
    <w:rsid w:val="004B402F"/>
    <w:rsid w:val="004B48DE"/>
    <w:rsid w:val="004C45E1"/>
    <w:rsid w:val="004D3270"/>
    <w:rsid w:val="004D4532"/>
    <w:rsid w:val="004E2028"/>
    <w:rsid w:val="004F0090"/>
    <w:rsid w:val="004F06DD"/>
    <w:rsid w:val="004F0E31"/>
    <w:rsid w:val="0050040F"/>
    <w:rsid w:val="0050607C"/>
    <w:rsid w:val="005061FD"/>
    <w:rsid w:val="00507496"/>
    <w:rsid w:val="00515F35"/>
    <w:rsid w:val="00520038"/>
    <w:rsid w:val="0052288E"/>
    <w:rsid w:val="00524173"/>
    <w:rsid w:val="005324D6"/>
    <w:rsid w:val="00533D31"/>
    <w:rsid w:val="00536583"/>
    <w:rsid w:val="00536A5E"/>
    <w:rsid w:val="00537CE9"/>
    <w:rsid w:val="00540537"/>
    <w:rsid w:val="0054132D"/>
    <w:rsid w:val="005549CF"/>
    <w:rsid w:val="00564A9D"/>
    <w:rsid w:val="00565284"/>
    <w:rsid w:val="0056754D"/>
    <w:rsid w:val="00572ACC"/>
    <w:rsid w:val="005745A6"/>
    <w:rsid w:val="005808B5"/>
    <w:rsid w:val="0058548C"/>
    <w:rsid w:val="00592699"/>
    <w:rsid w:val="00597587"/>
    <w:rsid w:val="00597C0B"/>
    <w:rsid w:val="005A2BED"/>
    <w:rsid w:val="005A657D"/>
    <w:rsid w:val="005A737B"/>
    <w:rsid w:val="005A7D8C"/>
    <w:rsid w:val="005B6C06"/>
    <w:rsid w:val="005C4660"/>
    <w:rsid w:val="005D18FC"/>
    <w:rsid w:val="005D3765"/>
    <w:rsid w:val="005D58CA"/>
    <w:rsid w:val="005E02E5"/>
    <w:rsid w:val="005E1CA0"/>
    <w:rsid w:val="005F6CDF"/>
    <w:rsid w:val="0060109B"/>
    <w:rsid w:val="006041D3"/>
    <w:rsid w:val="00610669"/>
    <w:rsid w:val="0061681E"/>
    <w:rsid w:val="00636D46"/>
    <w:rsid w:val="006371D4"/>
    <w:rsid w:val="006404F6"/>
    <w:rsid w:val="00652C44"/>
    <w:rsid w:val="006540EF"/>
    <w:rsid w:val="0065458E"/>
    <w:rsid w:val="0065528B"/>
    <w:rsid w:val="00657E8F"/>
    <w:rsid w:val="00667644"/>
    <w:rsid w:val="006717EA"/>
    <w:rsid w:val="006738F3"/>
    <w:rsid w:val="006775BD"/>
    <w:rsid w:val="0068258B"/>
    <w:rsid w:val="00683797"/>
    <w:rsid w:val="00685D7D"/>
    <w:rsid w:val="00691CA5"/>
    <w:rsid w:val="00691D39"/>
    <w:rsid w:val="00693FF5"/>
    <w:rsid w:val="00694B03"/>
    <w:rsid w:val="0069559B"/>
    <w:rsid w:val="00695D73"/>
    <w:rsid w:val="006A4609"/>
    <w:rsid w:val="006A498B"/>
    <w:rsid w:val="006A5C89"/>
    <w:rsid w:val="006A5D3C"/>
    <w:rsid w:val="006C1C41"/>
    <w:rsid w:val="006C2A88"/>
    <w:rsid w:val="006C3D72"/>
    <w:rsid w:val="006D017F"/>
    <w:rsid w:val="006D11F5"/>
    <w:rsid w:val="006E1BC2"/>
    <w:rsid w:val="006E2AC2"/>
    <w:rsid w:val="00701057"/>
    <w:rsid w:val="00705579"/>
    <w:rsid w:val="00705C66"/>
    <w:rsid w:val="0070621A"/>
    <w:rsid w:val="007065B1"/>
    <w:rsid w:val="00714C50"/>
    <w:rsid w:val="007201DE"/>
    <w:rsid w:val="0072169C"/>
    <w:rsid w:val="00725B6F"/>
    <w:rsid w:val="00725BE2"/>
    <w:rsid w:val="007334B6"/>
    <w:rsid w:val="00737246"/>
    <w:rsid w:val="00737784"/>
    <w:rsid w:val="007407EE"/>
    <w:rsid w:val="007432FB"/>
    <w:rsid w:val="007479E5"/>
    <w:rsid w:val="00752DA1"/>
    <w:rsid w:val="007565E2"/>
    <w:rsid w:val="0075752A"/>
    <w:rsid w:val="00762402"/>
    <w:rsid w:val="0076496D"/>
    <w:rsid w:val="007725F7"/>
    <w:rsid w:val="00782271"/>
    <w:rsid w:val="00793348"/>
    <w:rsid w:val="00793615"/>
    <w:rsid w:val="007A3B56"/>
    <w:rsid w:val="007B19B8"/>
    <w:rsid w:val="007B4893"/>
    <w:rsid w:val="007B71CB"/>
    <w:rsid w:val="007C0D40"/>
    <w:rsid w:val="007C3F8C"/>
    <w:rsid w:val="007C59BC"/>
    <w:rsid w:val="007C7E13"/>
    <w:rsid w:val="007D691F"/>
    <w:rsid w:val="007D6D1A"/>
    <w:rsid w:val="007F1437"/>
    <w:rsid w:val="007F18BD"/>
    <w:rsid w:val="007F1D3F"/>
    <w:rsid w:val="00802C03"/>
    <w:rsid w:val="00803100"/>
    <w:rsid w:val="00804179"/>
    <w:rsid w:val="00804611"/>
    <w:rsid w:val="00805648"/>
    <w:rsid w:val="00806402"/>
    <w:rsid w:val="00811F24"/>
    <w:rsid w:val="00815AAC"/>
    <w:rsid w:val="00815EEA"/>
    <w:rsid w:val="0081626C"/>
    <w:rsid w:val="0082427B"/>
    <w:rsid w:val="00827F43"/>
    <w:rsid w:val="00836779"/>
    <w:rsid w:val="008435E5"/>
    <w:rsid w:val="00853374"/>
    <w:rsid w:val="008544B6"/>
    <w:rsid w:val="00857FB5"/>
    <w:rsid w:val="00862B7F"/>
    <w:rsid w:val="008679FA"/>
    <w:rsid w:val="00876439"/>
    <w:rsid w:val="008774F5"/>
    <w:rsid w:val="00880DB2"/>
    <w:rsid w:val="0088138B"/>
    <w:rsid w:val="00886015"/>
    <w:rsid w:val="00894D8C"/>
    <w:rsid w:val="008A2A31"/>
    <w:rsid w:val="008A4354"/>
    <w:rsid w:val="008B0D06"/>
    <w:rsid w:val="008B0F82"/>
    <w:rsid w:val="008B4753"/>
    <w:rsid w:val="008B6D48"/>
    <w:rsid w:val="008D3184"/>
    <w:rsid w:val="008D68C6"/>
    <w:rsid w:val="008D77AF"/>
    <w:rsid w:val="008D78B1"/>
    <w:rsid w:val="008E0BC1"/>
    <w:rsid w:val="008F28D2"/>
    <w:rsid w:val="008F646E"/>
    <w:rsid w:val="008F65C7"/>
    <w:rsid w:val="008F67B3"/>
    <w:rsid w:val="00903270"/>
    <w:rsid w:val="0090545F"/>
    <w:rsid w:val="009070FF"/>
    <w:rsid w:val="0091004C"/>
    <w:rsid w:val="00911570"/>
    <w:rsid w:val="00914771"/>
    <w:rsid w:val="00915B11"/>
    <w:rsid w:val="00917943"/>
    <w:rsid w:val="009205C9"/>
    <w:rsid w:val="00921B9B"/>
    <w:rsid w:val="009221D6"/>
    <w:rsid w:val="009222CF"/>
    <w:rsid w:val="009301A1"/>
    <w:rsid w:val="00932048"/>
    <w:rsid w:val="009407D1"/>
    <w:rsid w:val="009433BA"/>
    <w:rsid w:val="00944F9A"/>
    <w:rsid w:val="009466E6"/>
    <w:rsid w:val="0095380E"/>
    <w:rsid w:val="009601E7"/>
    <w:rsid w:val="00960B4F"/>
    <w:rsid w:val="00960D09"/>
    <w:rsid w:val="00963411"/>
    <w:rsid w:val="00965378"/>
    <w:rsid w:val="0096655F"/>
    <w:rsid w:val="009672E5"/>
    <w:rsid w:val="00977723"/>
    <w:rsid w:val="00981094"/>
    <w:rsid w:val="009902F2"/>
    <w:rsid w:val="00995053"/>
    <w:rsid w:val="009A01ED"/>
    <w:rsid w:val="009A7537"/>
    <w:rsid w:val="009C2D61"/>
    <w:rsid w:val="009C3004"/>
    <w:rsid w:val="009D0932"/>
    <w:rsid w:val="009E2AF6"/>
    <w:rsid w:val="009E56A1"/>
    <w:rsid w:val="009F0CAF"/>
    <w:rsid w:val="009F0FBC"/>
    <w:rsid w:val="009F47B2"/>
    <w:rsid w:val="00A01BF8"/>
    <w:rsid w:val="00A02403"/>
    <w:rsid w:val="00A0537C"/>
    <w:rsid w:val="00A14F4E"/>
    <w:rsid w:val="00A1646C"/>
    <w:rsid w:val="00A208C9"/>
    <w:rsid w:val="00A24BAB"/>
    <w:rsid w:val="00A33D3B"/>
    <w:rsid w:val="00A35E29"/>
    <w:rsid w:val="00A3630A"/>
    <w:rsid w:val="00A4005A"/>
    <w:rsid w:val="00A44074"/>
    <w:rsid w:val="00A477D1"/>
    <w:rsid w:val="00A47CD8"/>
    <w:rsid w:val="00A6089D"/>
    <w:rsid w:val="00A62D86"/>
    <w:rsid w:val="00A67173"/>
    <w:rsid w:val="00A67B3D"/>
    <w:rsid w:val="00A67CED"/>
    <w:rsid w:val="00A71F9B"/>
    <w:rsid w:val="00A75407"/>
    <w:rsid w:val="00A758CE"/>
    <w:rsid w:val="00A86172"/>
    <w:rsid w:val="00A87767"/>
    <w:rsid w:val="00A92405"/>
    <w:rsid w:val="00A92CD2"/>
    <w:rsid w:val="00AA3E75"/>
    <w:rsid w:val="00AA6743"/>
    <w:rsid w:val="00AB2C47"/>
    <w:rsid w:val="00AB50BA"/>
    <w:rsid w:val="00AC0249"/>
    <w:rsid w:val="00AC045F"/>
    <w:rsid w:val="00AC51C0"/>
    <w:rsid w:val="00AC577E"/>
    <w:rsid w:val="00AC5AD6"/>
    <w:rsid w:val="00AE0CEC"/>
    <w:rsid w:val="00AE1AF4"/>
    <w:rsid w:val="00AF0872"/>
    <w:rsid w:val="00AF7482"/>
    <w:rsid w:val="00B13523"/>
    <w:rsid w:val="00B143DF"/>
    <w:rsid w:val="00B14DC0"/>
    <w:rsid w:val="00B151D2"/>
    <w:rsid w:val="00B15EE8"/>
    <w:rsid w:val="00B15F0F"/>
    <w:rsid w:val="00B23B2F"/>
    <w:rsid w:val="00B25A68"/>
    <w:rsid w:val="00B32D7D"/>
    <w:rsid w:val="00B361FE"/>
    <w:rsid w:val="00B441EF"/>
    <w:rsid w:val="00B46FA2"/>
    <w:rsid w:val="00B50F76"/>
    <w:rsid w:val="00B52639"/>
    <w:rsid w:val="00B54F91"/>
    <w:rsid w:val="00B57334"/>
    <w:rsid w:val="00B605EB"/>
    <w:rsid w:val="00B630E3"/>
    <w:rsid w:val="00B73E0E"/>
    <w:rsid w:val="00B74806"/>
    <w:rsid w:val="00B814EF"/>
    <w:rsid w:val="00B8157C"/>
    <w:rsid w:val="00B9077B"/>
    <w:rsid w:val="00B93288"/>
    <w:rsid w:val="00BA426F"/>
    <w:rsid w:val="00BA5C48"/>
    <w:rsid w:val="00BA7EC0"/>
    <w:rsid w:val="00BB62B8"/>
    <w:rsid w:val="00BB6E6C"/>
    <w:rsid w:val="00BC49C5"/>
    <w:rsid w:val="00BC5769"/>
    <w:rsid w:val="00BD0A8C"/>
    <w:rsid w:val="00BD2CB3"/>
    <w:rsid w:val="00BD32E6"/>
    <w:rsid w:val="00BD3350"/>
    <w:rsid w:val="00BE0681"/>
    <w:rsid w:val="00BE1B09"/>
    <w:rsid w:val="00BE2E31"/>
    <w:rsid w:val="00BE3CA6"/>
    <w:rsid w:val="00BE74CA"/>
    <w:rsid w:val="00BF4CE6"/>
    <w:rsid w:val="00C010C0"/>
    <w:rsid w:val="00C040C1"/>
    <w:rsid w:val="00C04BDF"/>
    <w:rsid w:val="00C12523"/>
    <w:rsid w:val="00C15CCF"/>
    <w:rsid w:val="00C20BF7"/>
    <w:rsid w:val="00C211C7"/>
    <w:rsid w:val="00C2123D"/>
    <w:rsid w:val="00C27617"/>
    <w:rsid w:val="00C33304"/>
    <w:rsid w:val="00C34172"/>
    <w:rsid w:val="00C3665E"/>
    <w:rsid w:val="00C3733F"/>
    <w:rsid w:val="00C63D40"/>
    <w:rsid w:val="00C82827"/>
    <w:rsid w:val="00C95071"/>
    <w:rsid w:val="00C95F95"/>
    <w:rsid w:val="00CA1B8E"/>
    <w:rsid w:val="00CA1BCC"/>
    <w:rsid w:val="00CA4CDB"/>
    <w:rsid w:val="00CA6833"/>
    <w:rsid w:val="00CA788B"/>
    <w:rsid w:val="00CB0349"/>
    <w:rsid w:val="00CB1982"/>
    <w:rsid w:val="00CB24D8"/>
    <w:rsid w:val="00CB2850"/>
    <w:rsid w:val="00CB582B"/>
    <w:rsid w:val="00CB5CAA"/>
    <w:rsid w:val="00CB68E9"/>
    <w:rsid w:val="00CB6FAF"/>
    <w:rsid w:val="00CC3D5E"/>
    <w:rsid w:val="00CD3E97"/>
    <w:rsid w:val="00CE7081"/>
    <w:rsid w:val="00D0041C"/>
    <w:rsid w:val="00D03331"/>
    <w:rsid w:val="00D06D13"/>
    <w:rsid w:val="00D13A3D"/>
    <w:rsid w:val="00D176F1"/>
    <w:rsid w:val="00D20846"/>
    <w:rsid w:val="00D2695F"/>
    <w:rsid w:val="00D302D6"/>
    <w:rsid w:val="00D345C3"/>
    <w:rsid w:val="00D3610C"/>
    <w:rsid w:val="00D414DD"/>
    <w:rsid w:val="00D43817"/>
    <w:rsid w:val="00D43CE1"/>
    <w:rsid w:val="00D52124"/>
    <w:rsid w:val="00D55667"/>
    <w:rsid w:val="00D572DF"/>
    <w:rsid w:val="00D600C9"/>
    <w:rsid w:val="00D67A5A"/>
    <w:rsid w:val="00D72776"/>
    <w:rsid w:val="00D72B7C"/>
    <w:rsid w:val="00D77069"/>
    <w:rsid w:val="00D77FB8"/>
    <w:rsid w:val="00D83014"/>
    <w:rsid w:val="00D84548"/>
    <w:rsid w:val="00D84969"/>
    <w:rsid w:val="00D9505A"/>
    <w:rsid w:val="00D959D1"/>
    <w:rsid w:val="00D96CCE"/>
    <w:rsid w:val="00DA3F47"/>
    <w:rsid w:val="00DA78A9"/>
    <w:rsid w:val="00DA7B91"/>
    <w:rsid w:val="00DB5C1C"/>
    <w:rsid w:val="00DB6C81"/>
    <w:rsid w:val="00DC0171"/>
    <w:rsid w:val="00DC1CBF"/>
    <w:rsid w:val="00DC75CD"/>
    <w:rsid w:val="00DD7AB7"/>
    <w:rsid w:val="00DE339D"/>
    <w:rsid w:val="00DF173B"/>
    <w:rsid w:val="00DF3849"/>
    <w:rsid w:val="00DF58EA"/>
    <w:rsid w:val="00E00760"/>
    <w:rsid w:val="00E02599"/>
    <w:rsid w:val="00E07951"/>
    <w:rsid w:val="00E10E9B"/>
    <w:rsid w:val="00E1398C"/>
    <w:rsid w:val="00E2259B"/>
    <w:rsid w:val="00E234FC"/>
    <w:rsid w:val="00E23FE9"/>
    <w:rsid w:val="00E3203E"/>
    <w:rsid w:val="00E411D2"/>
    <w:rsid w:val="00E41489"/>
    <w:rsid w:val="00E42AB9"/>
    <w:rsid w:val="00E46D88"/>
    <w:rsid w:val="00E47706"/>
    <w:rsid w:val="00E47C19"/>
    <w:rsid w:val="00E52857"/>
    <w:rsid w:val="00E52D4B"/>
    <w:rsid w:val="00E542A8"/>
    <w:rsid w:val="00E648E5"/>
    <w:rsid w:val="00E6646C"/>
    <w:rsid w:val="00E71F4D"/>
    <w:rsid w:val="00E757D3"/>
    <w:rsid w:val="00E75B0A"/>
    <w:rsid w:val="00E77A72"/>
    <w:rsid w:val="00E77C37"/>
    <w:rsid w:val="00E938CC"/>
    <w:rsid w:val="00EA00CC"/>
    <w:rsid w:val="00EA3D79"/>
    <w:rsid w:val="00EA718A"/>
    <w:rsid w:val="00EB195E"/>
    <w:rsid w:val="00EB25DD"/>
    <w:rsid w:val="00EB2D91"/>
    <w:rsid w:val="00EC25FA"/>
    <w:rsid w:val="00EC4D6E"/>
    <w:rsid w:val="00EC5288"/>
    <w:rsid w:val="00EC551E"/>
    <w:rsid w:val="00EC56B1"/>
    <w:rsid w:val="00EC7850"/>
    <w:rsid w:val="00ED3DBC"/>
    <w:rsid w:val="00EE0AE1"/>
    <w:rsid w:val="00EE30BA"/>
    <w:rsid w:val="00EE3543"/>
    <w:rsid w:val="00EE4CE3"/>
    <w:rsid w:val="00EF3501"/>
    <w:rsid w:val="00F00520"/>
    <w:rsid w:val="00F00A5C"/>
    <w:rsid w:val="00F02A22"/>
    <w:rsid w:val="00F03ABE"/>
    <w:rsid w:val="00F061A0"/>
    <w:rsid w:val="00F17216"/>
    <w:rsid w:val="00F206CE"/>
    <w:rsid w:val="00F21E88"/>
    <w:rsid w:val="00F220E1"/>
    <w:rsid w:val="00F3274E"/>
    <w:rsid w:val="00F40342"/>
    <w:rsid w:val="00F43619"/>
    <w:rsid w:val="00F47395"/>
    <w:rsid w:val="00F53163"/>
    <w:rsid w:val="00F54B94"/>
    <w:rsid w:val="00F54FC3"/>
    <w:rsid w:val="00F56105"/>
    <w:rsid w:val="00F6088C"/>
    <w:rsid w:val="00F6114C"/>
    <w:rsid w:val="00F63892"/>
    <w:rsid w:val="00F64B83"/>
    <w:rsid w:val="00F70525"/>
    <w:rsid w:val="00F727F5"/>
    <w:rsid w:val="00F76129"/>
    <w:rsid w:val="00F77823"/>
    <w:rsid w:val="00F81385"/>
    <w:rsid w:val="00F83833"/>
    <w:rsid w:val="00F905F4"/>
    <w:rsid w:val="00F93256"/>
    <w:rsid w:val="00F93610"/>
    <w:rsid w:val="00FA0C21"/>
    <w:rsid w:val="00FA2364"/>
    <w:rsid w:val="00FA3469"/>
    <w:rsid w:val="00FA4A30"/>
    <w:rsid w:val="00FA4F98"/>
    <w:rsid w:val="00FC264B"/>
    <w:rsid w:val="00FC6D3D"/>
    <w:rsid w:val="00FD36E8"/>
    <w:rsid w:val="00FD685C"/>
    <w:rsid w:val="00FE1925"/>
    <w:rsid w:val="00FE45A3"/>
    <w:rsid w:val="00FF1FF2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CE91DD-354D-4EC0-AA79-6ED903FC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7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69F"/>
    <w:rPr>
      <w:rFonts w:cs="Times New Roman"/>
      <w:sz w:val="2"/>
    </w:rPr>
  </w:style>
  <w:style w:type="table" w:styleId="TableGrid">
    <w:name w:val="Table Grid"/>
    <w:basedOn w:val="TableNormal"/>
    <w:uiPriority w:val="59"/>
    <w:rsid w:val="00177D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6676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1769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67644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qFormat/>
    <w:rsid w:val="00E411D2"/>
    <w:rPr>
      <w:rFonts w:ascii="Calibri" w:hAnsi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411D2"/>
    <w:rPr>
      <w:rFonts w:ascii="Calibri" w:hAnsi="Calibri" w:cs="Times New Roman"/>
      <w:sz w:val="22"/>
      <w:szCs w:val="22"/>
      <w:lang w:val="en-US" w:eastAsia="en-US" w:bidi="ar-SA"/>
    </w:rPr>
  </w:style>
  <w:style w:type="table" w:styleId="MediumGrid3-Accent3">
    <w:name w:val="Medium Grid 3 Accent 3"/>
    <w:basedOn w:val="TableNormal"/>
    <w:uiPriority w:val="99"/>
    <w:rsid w:val="00533D31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PageNumber">
    <w:name w:val="page number"/>
    <w:basedOn w:val="DefaultParagraphFont"/>
    <w:uiPriority w:val="99"/>
    <w:rsid w:val="002711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757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F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5F0F"/>
    <w:pPr>
      <w:spacing w:before="100" w:beforeAutospacing="1" w:after="100" w:afterAutospacing="1"/>
    </w:pPr>
  </w:style>
  <w:style w:type="paragraph" w:customStyle="1" w:styleId="Default">
    <w:name w:val="Default"/>
    <w:rsid w:val="006D11F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.Pushkarova\AppData\Local\Microsoft\Windows\Temporary%20Internet%20Files\Content.IE5\1O190W7L\&#1056;&#8216;&#1057;&#1026;&#1056;&#1109;&#1056;&#8470;%20&#1056;&#1111;&#1057;&#1026;&#1056;&#181;&#1056;&#1169;&#1056;&#187;&#1056;&#1109;&#1056;&#182;&#1056;&#181;&#1056;&#1029;&#1056;&#1105;&#1057;&#1039;%20&#1056;&#183;&#1056;&#176;%20&#1056;&#1109;&#1057;&#8218;&#1056;&#1108;&#1056;&#176;&#1056;&#183;%20&#1056;&#1111;&#1056;&#1109;%20&#1056;&#1112;&#1056;&#1109;&#1057;&#8218;&#1056;&#1105;&#1056;&#1030;&#1056;&#1105;%20&#1056;&#1029;&#1056;&#176;%20&#1056;&#1113;&#1056;&#1109;&#1056;&#1112;&#1056;&#1105;&#1057;&#1027;&#1056;&#1105;&#1057;&#1039;&#1057;&#8218;&#1056;&#176;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.Pushkarova\AppData\Local\Microsoft\Windows\Temporary%20Internet%20Files\Content.IE5\BK93VLLW\&#1056;&#8216;&#1057;&#1026;&#1056;&#1109;&#1056;&#8470;%20&#1056;&#1112;&#1056;&#1109;&#1056;&#187;&#1056;&#1105;&#1057;&#8218;&#1056;&#181;&#1056;&#187;&#1056;&#1105;%20&#1057;&#1027;%20&#1057;&#1026;&#1056;&#181;&#1057;&#8364;&#1056;&#181;&#1056;&#1029;&#1056;&#1105;%20&#1056;&#1112;&#1056;&#1109;&#1056;&#187;&#1056;&#177;&#1056;&#1105;,%20&#1056;&#1111;&#1056;&#1109;%20&#1056;&#1112;&#1056;&#1109;&#1057;&#8218;&#1056;&#1105;&#1056;&#1030;&#1056;&#1105;%20&#1056;&#1029;&#1056;&#176;%20&#1056;&#1112;&#1056;&#1109;&#1056;&#187;&#1056;&#1105;&#1057;&#8218;&#1056;&#181;&#1056;&#187;&#1057;&#1039;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.Pushkarova\AppData\Local\Microsoft\Windows\Temporary%20Internet%20Files\Content.IE5\BK93VLLW\&#1056;&#8216;&#1057;&#1026;&#1056;&#1109;&#1056;&#8470;%20&#1056;&#1112;&#1056;&#1109;&#1056;&#187;&#1056;&#1105;&#1057;&#8218;&#1056;&#181;&#1056;&#187;&#1056;&#1105;%20&#1057;&#1027;%20&#1057;&#1026;&#1056;&#181;&#1057;&#8364;&#1056;&#181;&#1056;&#1029;&#1056;&#1105;%20&#1056;&#1112;&#1056;&#1109;&#1056;&#187;&#1056;&#177;&#1056;&#1105;,%20&#1056;&#1111;&#1056;&#1109;%20&#1056;&#1029;&#1056;&#1105;&#1056;&#1030;&#1056;&#176;%20&#1056;&#1029;&#1056;&#176;%20&#1057;&#1026;&#1056;&#181;&#1057;&#8224;&#1056;&#1105;&#1056;&#1169;&#1056;&#1105;&#1056;&#1030;&#1056;&#1029;&#1056;&#1105;&#1057;&#1039;%20&#1057;&#1026;&#1056;&#1105;&#1057;&#1027;&#1056;&#1108;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.Pushkarova\Downloads\&#1056;&#8216;&#1057;&#1026;&#1056;&#1109;&#1056;&#8470;%20&#1056;&#1112;&#1056;&#1109;&#1056;&#187;&#1056;&#1105;&#1057;&#8218;&#1056;&#181;&#1056;&#187;&#1056;&#1105;%20&#1057;&#1027;%20&#1057;&#1026;&#1056;&#181;&#1057;&#8364;&#1056;&#181;&#1056;&#1029;&#1056;&#1105;%20&#1056;&#1112;&#1056;&#1109;&#1056;&#187;&#1056;&#177;&#1056;&#1105;,%20&#1056;&#1111;&#1056;&#1109;%20&#1056;&#1169;&#1056;&#181;&#1057;&#8222;&#1056;&#1105;&#1057;&#8224;&#1056;&#1105;&#1057;&#8218;&#1056;&#1029;&#1056;&#176;%20&#1056;&#183;&#1056;&#1109;&#1056;&#1029;&#1056;&#176;%20&#1056;&#1029;&#1056;&#176;%20&#1057;&#1026;&#1056;&#181;&#1057;&#8224;&#1056;&#1105;&#1056;&#1169;&#1056;&#1105;&#1056;&#1030;&#1056;&#1029;&#1056;&#1105;&#1057;&#1039;%20&#1057;&#1026;&#1056;&#1105;&#1057;&#1027;&#1056;&#1108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.Pushkarova\AppData\Local\Microsoft\Windows\Temporary%20Internet%20Files\Content.IE5\BK93VLLW\&#1056;&#8216;&#1057;&#1026;&#1056;&#1109;&#1056;&#8470;%20&#1056;&#1112;&#1056;&#1109;&#1056;&#187;&#1056;&#1105;&#1057;&#8218;&#1056;&#181;&#1056;&#187;&#1056;&#1105;%20&#1057;&#1027;%20&#1057;&#1026;&#1056;&#181;&#1057;&#8364;&#1056;&#181;&#1056;&#1029;&#1056;&#1105;%20&#1056;&#1112;&#1056;&#1109;&#1056;&#187;&#1056;&#177;&#1056;&#1105;,%20&#1056;&#1111;&#1056;&#1109;%20&#1056;&#1030;&#1056;&#1105;&#1056;&#1169;%20&#1056;&#1029;&#1056;&#176;&#1056;&#1108;&#1056;&#176;&#1056;&#183;&#1056;&#176;&#1056;&#1029;&#1056;&#1105;&#1056;&#181;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.Pushkarova\Downloads\&#1056;&#8216;&#1057;&#1026;&#1056;&#1109;&#1056;&#8470;%20&#1056;&#1112;&#1056;&#1109;&#1056;&#187;&#1056;&#1105;&#1057;&#8218;&#1056;&#181;&#1056;&#187;&#1056;&#1105;%20&#1057;&#1027;%20&#1057;&#1026;&#1056;&#181;&#1057;&#8364;&#1056;&#181;&#1056;&#1029;&#1056;&#1105;%20&#1056;&#1112;&#1056;&#1109;&#1056;&#187;&#1056;&#177;&#1056;&#1105;,%20&#1056;&#1111;&#1056;&#1109;%20&#1056;&#1112;&#1057;&#1039;&#1057;&#1027;&#1057;&#8218;&#1056;&#1109;%20&#1056;&#1029;&#1056;&#176;%20&#1056;&#1105;&#1056;&#183;&#1057;&#8218;&#1057;&#1033;&#1057;&#1026;&#1056;&#1111;&#1057;&#1039;&#1056;&#1030;&#1056;&#176;&#1056;&#1029;&#1056;&#181;%20&#1056;&#1029;&#1056;&#176;%20&#1056;&#1029;&#1056;&#176;&#1056;&#1108;&#1056;&#176;&#1056;&#183;&#1056;&#176;&#1056;&#1029;&#1056;&#1105;&#1056;&#181;&#1057;&#8218;&#1056;&#1109;%20(2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.Pushkarova\AppData\Local\Microsoft\Windows\Temporary%20Internet%20Files\Content.IE5\1O190W7L\&#1056;&#8216;&#1057;&#1026;&#1056;&#1109;&#1056;&#8470;%20&#1056;&#1112;&#1056;&#1109;&#1056;&#187;&#1056;&#1105;&#1057;&#8218;&#1056;&#181;&#1056;&#187;&#1056;&#1105;%20&#1057;&#1027;%20&#1057;&#1026;&#1056;&#181;&#1057;&#8364;&#1056;&#181;&#1056;&#1029;&#1056;&#1105;%20&#1056;&#1112;&#1056;&#1109;&#1056;&#187;&#1056;&#177;&#1056;&#1105;,%20&#1056;&#1111;&#1056;&#1109;%20&#1056;&#1030;&#1057;&#1033;&#1056;&#183;&#1057;&#1026;&#1056;&#176;&#1057;&#1027;&#1057;&#8218;%20(1)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r>
              <a:rPr lang="bg-BG" sz="1100" b="1">
                <a:latin typeface="+mj-lt"/>
              </a:rPr>
              <a:t>График</a:t>
            </a:r>
            <a:r>
              <a:rPr lang="bg-BG" sz="1100" b="1" baseline="0">
                <a:latin typeface="+mj-lt"/>
              </a:rPr>
              <a:t> 1. </a:t>
            </a:r>
            <a:r>
              <a:rPr lang="bg-BG" sz="1100" b="1">
                <a:latin typeface="+mj-lt"/>
              </a:rPr>
              <a:t>Мотиви</a:t>
            </a:r>
            <a:r>
              <a:rPr lang="bg-BG" sz="1100" b="1" baseline="0">
                <a:latin typeface="+mj-lt"/>
              </a:rPr>
              <a:t> на Комисията </a:t>
            </a:r>
          </a:p>
          <a:p>
            <a:pPr>
              <a:defRPr>
                <a:latin typeface="+mj-lt"/>
              </a:defRPr>
            </a:pPr>
            <a:r>
              <a:rPr lang="bg-BG" sz="1100" b="1" baseline="0">
                <a:latin typeface="+mj-lt"/>
              </a:rPr>
              <a:t>(предложения за отказ)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0.48930156870747943"/>
          <c:y val="0.18087800136094098"/>
          <c:w val="0.4471796924071802"/>
          <c:h val="0.6589734616506268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'[Р‘СЂРѕР№ РїСЂРµРґР»РѕР¶РµРЅРёСЏ Р·Р° РѕС‚РєР°Р· РїРѕ РјРѕС‚РёРІРё РЅР° РљРѕРјРёСЃРёСЏС‚Р°.xlsx]2011-01-12 - 2015-07-01'!$D$1:$I$1</c:f>
              <c:strCache>
                <c:ptCount val="6"/>
                <c:pt idx="0">
                  <c:v>Помилването е ревизия на присъдата</c:v>
                </c:pt>
                <c:pt idx="1">
                  <c:v>Помилването ще насърчи рецидива</c:v>
                </c:pt>
                <c:pt idx="2">
                  <c:v>Помилването ще омаловажи извършеното</c:v>
                </c:pt>
                <c:pt idx="3">
                  <c:v>Приложими други институти</c:v>
                </c:pt>
                <c:pt idx="4">
                  <c:v>Недоказаност на молбата</c:v>
                </c:pt>
                <c:pt idx="5">
                  <c:v>Репресията не е прекомерна/нецелесъобразна</c:v>
                </c:pt>
              </c:strCache>
            </c:strRef>
          </c:cat>
          <c:val>
            <c:numRef>
              <c:f>'[Р‘СЂРѕР№ РїСЂРµРґР»РѕР¶РµРЅРёСЏ Р·Р° РѕС‚РєР°Р· РїРѕ РјРѕС‚РёРІРё РЅР° РљРѕРјРёСЃРёСЏС‚Р°.xlsx]2011-01-12 - 2015-07-01'!$D$2:$I$2</c:f>
              <c:numCache>
                <c:formatCode>0%</c:formatCode>
                <c:ptCount val="6"/>
                <c:pt idx="0">
                  <c:v>0.18</c:v>
                </c:pt>
                <c:pt idx="1">
                  <c:v>0.26</c:v>
                </c:pt>
                <c:pt idx="2">
                  <c:v>0.33</c:v>
                </c:pt>
                <c:pt idx="3">
                  <c:v>0.01</c:v>
                </c:pt>
                <c:pt idx="4">
                  <c:v>0.35</c:v>
                </c:pt>
                <c:pt idx="5">
                  <c:v>0.5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84044480"/>
        <c:axId val="384045040"/>
      </c:barChart>
      <c:catAx>
        <c:axId val="3840444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bg-BG"/>
          </a:p>
        </c:txPr>
        <c:crossAx val="384045040"/>
        <c:crosses val="autoZero"/>
        <c:auto val="1"/>
        <c:lblAlgn val="ctr"/>
        <c:lblOffset val="100"/>
        <c:noMultiLvlLbl val="0"/>
      </c:catAx>
      <c:valAx>
        <c:axId val="384045040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384044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5">
        <a:lumMod val="20000"/>
        <a:lumOff val="80000"/>
        <a:alpha val="9000"/>
      </a:schemeClr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100" b="1">
                <a:latin typeface="+mj-lt"/>
              </a:rPr>
              <a:t>Графика 2. Мотиви</a:t>
            </a:r>
            <a:r>
              <a:rPr lang="bg-BG" sz="1100" b="1" baseline="0">
                <a:latin typeface="+mj-lt"/>
              </a:rPr>
              <a:t> на молителите с молби, решени с предложение за отказ</a:t>
            </a:r>
            <a:endParaRPr lang="en-GB" sz="1100" b="1">
              <a:latin typeface="+mj-lt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0.52801569290419792"/>
          <c:y val="9.7238180982227529E-2"/>
          <c:w val="0.47198430709580208"/>
          <c:h val="0.82781407798477746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'[Р‘СЂРѕР№ РјРѕР»РёС‚РµР»Рё СЃ СЂРµС€РµРЅРё РјРѕР»Р±Рё, РїРѕ РјРѕС‚РёРІРё РЅР° РјРѕР»РёС‚РµР»СЏ.xlsx]2011-02-12 - 2015-07-01'!$D$1:$J$1</c:f>
              <c:strCache>
                <c:ptCount val="7"/>
                <c:pt idx="0">
                  <c:v>Оправдателни мотиви: невиновен, принуден от обстоятелствата</c:v>
                </c:pt>
                <c:pt idx="1">
                  <c:v>Несправедливо осъждане: неотчетени смекчаващи вината обстоятелства, прекомерно наказание, незаконен процес, незаконна/неправилна присъда, пристрастност на институциите</c:v>
                </c:pt>
                <c:pt idx="2">
                  <c:v>Настъпили предпоставки за УПО: настъпило поправяне, работи / учи в затвора, не е наказван, награждаван е, има добро поведение, изтърпял е повече от половината от наказанието</c:v>
                </c:pt>
                <c:pt idx="3">
                  <c:v>Хуманитарни обстоятелства: влошено здраве на осъдения, болен близък, напреднала възраст на осъдения, бедност на семейството, необходимост да се грижи за деца, необходимост да се грижи за семейството</c:v>
                </c:pt>
                <c:pt idx="4">
                  <c:v>Прекомерност / нецелесъобразност на репресия: Поправянето не е оценено, затворът вреди на осъдения, наказанието прези на осъдения да се развива</c:v>
                </c:pt>
                <c:pt idx="5">
                  <c:v>Разкаяние</c:v>
                </c:pt>
                <c:pt idx="6">
                  <c:v>Други</c:v>
                </c:pt>
              </c:strCache>
            </c:strRef>
          </c:cat>
          <c:val>
            <c:numRef>
              <c:f>'[Р‘СЂРѕР№ РјРѕР»РёС‚РµР»Рё СЃ СЂРµС€РµРЅРё РјРѕР»Р±Рё, РїРѕ РјРѕС‚РёРІРё РЅР° РјРѕР»РёС‚РµР»СЏ.xlsx]2011-02-12 - 2015-07-01'!$D$2:$J$2</c:f>
              <c:numCache>
                <c:formatCode>0%</c:formatCode>
                <c:ptCount val="7"/>
                <c:pt idx="0">
                  <c:v>0.13</c:v>
                </c:pt>
                <c:pt idx="1">
                  <c:v>0.13</c:v>
                </c:pt>
                <c:pt idx="2">
                  <c:v>0.04</c:v>
                </c:pt>
                <c:pt idx="3">
                  <c:v>0.79</c:v>
                </c:pt>
                <c:pt idx="4">
                  <c:v>0.08</c:v>
                </c:pt>
                <c:pt idx="5">
                  <c:v>0.33</c:v>
                </c:pt>
                <c:pt idx="6">
                  <c:v>0.06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84047280"/>
        <c:axId val="384047840"/>
      </c:barChart>
      <c:catAx>
        <c:axId val="384047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bg-BG"/>
          </a:p>
        </c:txPr>
        <c:crossAx val="384047840"/>
        <c:crosses val="autoZero"/>
        <c:auto val="1"/>
        <c:lblAlgn val="ctr"/>
        <c:lblOffset val="100"/>
        <c:noMultiLvlLbl val="0"/>
      </c:catAx>
      <c:valAx>
        <c:axId val="384047840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384047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5">
        <a:lumMod val="20000"/>
        <a:lumOff val="80000"/>
        <a:alpha val="39000"/>
      </a:schemeClr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GB" sz="1100">
              <a:latin typeface="+mj-lt"/>
            </a:endParaRPr>
          </a:p>
        </c:rich>
      </c:tx>
      <c:layout>
        <c:manualLayout>
          <c:xMode val="edge"/>
          <c:yMode val="edge"/>
          <c:x val="0.61290808450923828"/>
          <c:y val="6.03188280913399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0.19125760699470926"/>
          <c:y val="0.2784999137881487"/>
          <c:w val="0.98605551401046931"/>
          <c:h val="0.7013252299532468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5">
                  <a:shade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5">
                  <a:tint val="6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bg-BG"/>
                      <a:t>нисък </a:t>
                    </a:r>
                    <a:fld id="{00976080-47BD-436C-9F99-B45B8C46947E}" type="VALUE">
                      <a:rPr lang="en-US"/>
                      <a:pPr/>
                      <a:t>[VALUE]</a:t>
                    </a:fld>
                    <a:endParaRPr lang="bg-BG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bg-BG"/>
                      <a:t>среден </a:t>
                    </a:r>
                    <a:fld id="{50B524F5-7F57-4EC2-923A-42052C18CF49}" type="VALUE">
                      <a:rPr lang="en-US"/>
                      <a:pPr/>
                      <a:t>[VALUE]</a:t>
                    </a:fld>
                    <a:endParaRPr lang="bg-BG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bg-BG"/>
                      <a:t>висок </a:t>
                    </a:r>
                    <a:fld id="{91ACF835-C600-46C1-852A-5703C89B8D73}" type="VALUE">
                      <a:rPr lang="en-US"/>
                      <a:pPr/>
                      <a:t>[VALUE]</a:t>
                    </a:fld>
                    <a:endParaRPr lang="bg-BG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'[Р‘СЂРѕР№ РјРѕР»РёС‚РµР»Рё СЃ СЂРµС€РµРЅРё РјРѕР»Р±Рё, РїРѕ РЅРёРІР° РЅР° СЂРµС†РёРґРёРІРЅРёСЏ СЂРёСЃРє.xlsx]2012-01-12 - 2015-07-01'!$D$1:$F$1</c:f>
              <c:strCache>
                <c:ptCount val="3"/>
                <c:pt idx="0">
                  <c:v>Нисък</c:v>
                </c:pt>
                <c:pt idx="1">
                  <c:v>Среден</c:v>
                </c:pt>
                <c:pt idx="2">
                  <c:v>Висок</c:v>
                </c:pt>
              </c:strCache>
            </c:strRef>
          </c:cat>
          <c:val>
            <c:numRef>
              <c:f>'[Р‘СЂРѕР№ РјРѕР»РёС‚РµР»Рё СЃ СЂРµС€РµРЅРё РјРѕР»Р±Рё, РїРѕ РЅРёРІР° РЅР° СЂРµС†РёРґРёРІРЅРёСЏ СЂРёСЃРє.xlsx]2012-01-12 - 2015-07-01'!$D$2:$F$2</c:f>
              <c:numCache>
                <c:formatCode>0%</c:formatCode>
                <c:ptCount val="3"/>
                <c:pt idx="0">
                  <c:v>0.3</c:v>
                </c:pt>
                <c:pt idx="1">
                  <c:v>0.5</c:v>
                </c:pt>
                <c:pt idx="2">
                  <c:v>0.18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100" b="1">
                <a:latin typeface="+mj-lt"/>
              </a:rPr>
              <a:t>Графика 3. Дефицитни зони на риска от рецидив</a:t>
            </a:r>
            <a:endParaRPr lang="en-GB" sz="1100" b="1">
              <a:latin typeface="+mj-lt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0.50847117264704333"/>
          <c:y val="0.10307077979031408"/>
          <c:w val="0.4587174925281991"/>
          <c:h val="0.86559599132044884"/>
        </c:manualLayout>
      </c:layout>
      <c:barChart>
        <c:barDir val="bar"/>
        <c:grouping val="clustered"/>
        <c:varyColors val="0"/>
        <c:ser>
          <c:idx val="4"/>
          <c:order val="0"/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'2012-01-12 - 2015-07-01'!$D$1:$P$1</c:f>
              <c:strCache>
                <c:ptCount val="13"/>
                <c:pt idx="0">
                  <c:v>Начин и умения за мислене. Нагласи</c:v>
                </c:pt>
                <c:pt idx="1">
                  <c:v>Междуличностно поведение, умения за общуване</c:v>
                </c:pt>
                <c:pt idx="2">
                  <c:v>Емоционални/Психологически фактори</c:v>
                </c:pt>
                <c:pt idx="3">
                  <c:v>Злоупотреба с алкохол</c:v>
                </c:pt>
                <c:pt idx="4">
                  <c:v>Начин на живот и обкръжение</c:v>
                </c:pt>
                <c:pt idx="5">
                  <c:v>Управление на финаси и доходи</c:v>
                </c:pt>
                <c:pt idx="6">
                  <c:v>Годност за работа</c:v>
                </c:pt>
                <c:pt idx="7">
                  <c:v>Обучение и образование</c:v>
                </c:pt>
                <c:pt idx="8">
                  <c:v>Взаимоотношения (Семейни/Брачни)</c:v>
                </c:pt>
                <c:pt idx="9">
                  <c:v>Жилищно устройване</c:v>
                </c:pt>
                <c:pt idx="10">
                  <c:v>Отношение към извършеното</c:v>
                </c:pt>
                <c:pt idx="11">
                  <c:v>Криминално минало</c:v>
                </c:pt>
                <c:pt idx="12">
                  <c:v>Настоящо престъпление</c:v>
                </c:pt>
              </c:strCache>
            </c:strRef>
          </c:cat>
          <c:val>
            <c:numRef>
              <c:f>'2012-01-12 - 2015-07-01'!$D$2:$P$2</c:f>
              <c:numCache>
                <c:formatCode>0%</c:formatCode>
                <c:ptCount val="13"/>
                <c:pt idx="0">
                  <c:v>0.56999999999999995</c:v>
                </c:pt>
                <c:pt idx="1">
                  <c:v>0.18</c:v>
                </c:pt>
                <c:pt idx="2">
                  <c:v>0.13</c:v>
                </c:pt>
                <c:pt idx="3">
                  <c:v>0.13</c:v>
                </c:pt>
                <c:pt idx="4">
                  <c:v>0.25</c:v>
                </c:pt>
                <c:pt idx="5">
                  <c:v>0.16</c:v>
                </c:pt>
                <c:pt idx="6">
                  <c:v>0.1</c:v>
                </c:pt>
                <c:pt idx="7">
                  <c:v>0.14000000000000001</c:v>
                </c:pt>
                <c:pt idx="8">
                  <c:v>7.0000000000000007E-2</c:v>
                </c:pt>
                <c:pt idx="9">
                  <c:v>0.08</c:v>
                </c:pt>
                <c:pt idx="10">
                  <c:v>0.36</c:v>
                </c:pt>
                <c:pt idx="11">
                  <c:v>0.18</c:v>
                </c:pt>
                <c:pt idx="12">
                  <c:v>0.25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84322384"/>
        <c:axId val="385972384"/>
      </c:barChart>
      <c:catAx>
        <c:axId val="384322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bg-BG"/>
          </a:p>
        </c:txPr>
        <c:crossAx val="385972384"/>
        <c:crosses val="autoZero"/>
        <c:auto val="1"/>
        <c:lblAlgn val="ctr"/>
        <c:lblOffset val="100"/>
        <c:noMultiLvlLbl val="0"/>
      </c:catAx>
      <c:valAx>
        <c:axId val="385972384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384322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5">
        <a:lumMod val="20000"/>
        <a:lumOff val="80000"/>
        <a:alpha val="14000"/>
      </a:schemeClr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4284950325466891E-2"/>
          <c:y val="0.12050471420056182"/>
          <c:w val="0.9217827588946863"/>
          <c:h val="0.8627658838755569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5">
                      <a:shade val="45000"/>
                      <a:shade val="51000"/>
                      <a:satMod val="130000"/>
                    </a:schemeClr>
                  </a:gs>
                  <a:gs pos="80000">
                    <a:schemeClr val="accent5">
                      <a:shade val="45000"/>
                      <a:shade val="93000"/>
                      <a:satMod val="130000"/>
                    </a:schemeClr>
                  </a:gs>
                  <a:gs pos="100000">
                    <a:schemeClr val="accent5">
                      <a:shade val="45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5">
                      <a:shade val="61000"/>
                      <a:shade val="51000"/>
                      <a:satMod val="130000"/>
                    </a:schemeClr>
                  </a:gs>
                  <a:gs pos="80000">
                    <a:schemeClr val="accent5">
                      <a:shade val="61000"/>
                      <a:shade val="93000"/>
                      <a:satMod val="130000"/>
                    </a:schemeClr>
                  </a:gs>
                  <a:gs pos="100000">
                    <a:schemeClr val="accent5">
                      <a:shade val="61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5">
                      <a:shade val="76000"/>
                      <a:shade val="51000"/>
                      <a:satMod val="130000"/>
                    </a:schemeClr>
                  </a:gs>
                  <a:gs pos="80000">
                    <a:schemeClr val="accent5">
                      <a:shade val="76000"/>
                      <a:shade val="93000"/>
                      <a:satMod val="130000"/>
                    </a:schemeClr>
                  </a:gs>
                  <a:gs pos="100000">
                    <a:schemeClr val="accent5">
                      <a:shade val="76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3"/>
            <c:bubble3D val="0"/>
            <c:spPr>
              <a:gradFill rotWithShape="1">
                <a:gsLst>
                  <a:gs pos="0">
                    <a:schemeClr val="accent5">
                      <a:shade val="92000"/>
                      <a:shade val="51000"/>
                      <a:satMod val="130000"/>
                    </a:schemeClr>
                  </a:gs>
                  <a:gs pos="80000">
                    <a:schemeClr val="accent5">
                      <a:shade val="92000"/>
                      <a:shade val="93000"/>
                      <a:satMod val="130000"/>
                    </a:schemeClr>
                  </a:gs>
                  <a:gs pos="100000">
                    <a:schemeClr val="accent5">
                      <a:shade val="92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tint val="93000"/>
                      <a:shade val="51000"/>
                      <a:satMod val="130000"/>
                    </a:schemeClr>
                  </a:gs>
                  <a:gs pos="80000">
                    <a:schemeClr val="accent5">
                      <a:tint val="93000"/>
                      <a:shade val="93000"/>
                      <a:satMod val="130000"/>
                    </a:schemeClr>
                  </a:gs>
                  <a:gs pos="100000">
                    <a:schemeClr val="accent5">
                      <a:tint val="93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5">
                      <a:tint val="77000"/>
                      <a:shade val="51000"/>
                      <a:satMod val="130000"/>
                    </a:schemeClr>
                  </a:gs>
                  <a:gs pos="80000">
                    <a:schemeClr val="accent5">
                      <a:tint val="77000"/>
                      <a:shade val="93000"/>
                      <a:satMod val="130000"/>
                    </a:schemeClr>
                  </a:gs>
                  <a:gs pos="100000">
                    <a:schemeClr val="accent5">
                      <a:tint val="77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6"/>
            <c:bubble3D val="0"/>
            <c:spPr>
              <a:gradFill rotWithShape="1">
                <a:gsLst>
                  <a:gs pos="0">
                    <a:schemeClr val="accent5">
                      <a:tint val="62000"/>
                      <a:shade val="51000"/>
                      <a:satMod val="130000"/>
                    </a:schemeClr>
                  </a:gs>
                  <a:gs pos="80000">
                    <a:schemeClr val="accent5">
                      <a:tint val="62000"/>
                      <a:shade val="93000"/>
                      <a:satMod val="130000"/>
                    </a:schemeClr>
                  </a:gs>
                  <a:gs pos="100000">
                    <a:schemeClr val="accent5">
                      <a:tint val="62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5">
                      <a:tint val="46000"/>
                      <a:shade val="51000"/>
                      <a:satMod val="130000"/>
                    </a:schemeClr>
                  </a:gs>
                  <a:gs pos="80000">
                    <a:schemeClr val="accent5">
                      <a:tint val="46000"/>
                      <a:shade val="93000"/>
                      <a:satMod val="130000"/>
                    </a:schemeClr>
                  </a:gs>
                  <a:gs pos="100000">
                    <a:schemeClr val="accent5">
                      <a:tint val="46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dLbl>
              <c:idx val="0"/>
              <c:layout>
                <c:manualLayout>
                  <c:x val="1.8005678170574666E-2"/>
                  <c:y val="-0.1301544176488604"/>
                </c:manualLayout>
              </c:layout>
              <c:tx>
                <c:rich>
                  <a:bodyPr/>
                  <a:lstStyle/>
                  <a:p>
                    <a:r>
                      <a:rPr lang="bg-BG"/>
                      <a:t>глоба</a:t>
                    </a:r>
                    <a:r>
                      <a:rPr lang="bg-BG" baseline="0"/>
                      <a:t> (</a:t>
                    </a:r>
                    <a:fld id="{D854BE67-F9FD-4C60-A053-7851D075A22F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4.4850232260131233E-2"/>
                  <c:y val="-6.7839700714951412E-4"/>
                </c:manualLayout>
              </c:layout>
              <c:tx>
                <c:rich>
                  <a:bodyPr/>
                  <a:lstStyle/>
                  <a:p>
                    <a:r>
                      <a:rPr lang="bg-BG"/>
                      <a:t>условно л.св.</a:t>
                    </a:r>
                    <a:r>
                      <a:rPr lang="bg-BG" baseline="0"/>
                      <a:t> (</a:t>
                    </a:r>
                    <a:fld id="{2FA36776-E73D-42F5-8EFD-B3A05CD653C7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157135992311387"/>
                      <c:h val="0.1474278544542032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19890065587543687"/>
                  <c:y val="-0.1762423050563420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bg1"/>
                        </a:solidFill>
                        <a:latin typeface="+mj-lt"/>
                        <a:ea typeface="+mn-ea"/>
                        <a:cs typeface="+mn-cs"/>
                      </a:defRPr>
                    </a:pPr>
                    <a:r>
                      <a:rPr lang="bg-BG">
                        <a:solidFill>
                          <a:schemeClr val="bg1"/>
                        </a:solidFill>
                      </a:rPr>
                      <a:t>до 10 г. л.св. вкл.</a:t>
                    </a:r>
                    <a:r>
                      <a:rPr lang="bg-BG" baseline="0">
                        <a:solidFill>
                          <a:schemeClr val="bg1"/>
                        </a:solidFill>
                      </a:rPr>
                      <a:t>
(70)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j-lt"/>
                      <a:ea typeface="+mn-ea"/>
                      <a:cs typeface="+mn-cs"/>
                    </a:defRPr>
                  </a:pPr>
                  <a:endParaRPr lang="bg-BG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6917896075100176"/>
                      <c:h val="0.1793938555673012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7.3571155599783555E-2"/>
                  <c:y val="-0.1215532656912239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bg1"/>
                        </a:solidFill>
                        <a:latin typeface="+mj-lt"/>
                        <a:ea typeface="+mn-ea"/>
                        <a:cs typeface="+mn-cs"/>
                      </a:defRPr>
                    </a:pPr>
                    <a:r>
                      <a:rPr lang="bg-BG"/>
                      <a:t>10-19 г л.св. </a:t>
                    </a:r>
                    <a:r>
                      <a:rPr lang="bg-BG" baseline="0"/>
                      <a:t>( </a:t>
                    </a:r>
                    <a:fld id="{B381626F-EF61-4A4F-B59E-73099227A3E6}" type="VALUE">
                      <a:rPr lang="en-US" baseline="0"/>
                      <a:pPr>
                        <a:defRPr b="1">
                          <a:solidFill>
                            <a:schemeClr val="bg1"/>
                          </a:solidFill>
                          <a:latin typeface="+mj-lt"/>
                        </a:defRPr>
                      </a:pPr>
                      <a:t>[VALUE]</a:t>
                    </a:fld>
                    <a:r>
                      <a:rPr lang="en-US" baseline="0"/>
                      <a:t>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+mj-lt"/>
                      <a:ea typeface="+mn-ea"/>
                      <a:cs typeface="+mn-cs"/>
                    </a:defRPr>
                  </a:pPr>
                  <a:endParaRPr lang="bg-BG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7725023680064973"/>
                      <c:h val="0.11151529521795973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0.17139195899407336"/>
                  <c:y val="0.1022166457549142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ctr">
                      <a:defRPr sz="900" b="1" i="0" u="none" strike="noStrike" kern="1200" baseline="0">
                        <a:solidFill>
                          <a:schemeClr val="bg1"/>
                        </a:solidFill>
                        <a:latin typeface="+mj-lt"/>
                        <a:ea typeface="+mn-ea"/>
                        <a:cs typeface="+mn-cs"/>
                      </a:defRPr>
                    </a:pPr>
                    <a:r>
                      <a:rPr lang="bg-BG">
                        <a:solidFill>
                          <a:schemeClr val="bg1"/>
                        </a:solidFill>
                      </a:rPr>
                      <a:t>над 20 г л.св.</a:t>
                    </a:r>
                  </a:p>
                  <a:p>
                    <a:pPr algn="ctr">
                      <a:defRPr b="1">
                        <a:solidFill>
                          <a:schemeClr val="bg1"/>
                        </a:solidFill>
                        <a:latin typeface="+mj-lt"/>
                      </a:defRPr>
                    </a:pPr>
                    <a:r>
                      <a:rPr lang="bg-BG" baseline="0">
                        <a:solidFill>
                          <a:schemeClr val="bg1"/>
                        </a:solidFill>
                      </a:rPr>
                      <a:t> (</a:t>
                    </a:r>
                    <a:fld id="{38745EBA-4D8D-47BF-B1FA-FFFA385A3799}" type="VALUE">
                      <a:rPr lang="en-US" baseline="0">
                        <a:solidFill>
                          <a:schemeClr val="bg1"/>
                        </a:solidFill>
                      </a:rPr>
                      <a:pPr algn="ctr">
                        <a:defRPr b="1">
                          <a:solidFill>
                            <a:schemeClr val="bg1"/>
                          </a:solidFill>
                          <a:latin typeface="+mj-lt"/>
                        </a:defRPr>
                      </a:pPr>
                      <a:t>[VALUE]</a:t>
                    </a:fld>
                    <a:r>
                      <a:rPr lang="en-US" baseline="0">
                        <a:solidFill>
                          <a:schemeClr val="bg1"/>
                        </a:solidFill>
                      </a:rPr>
                      <a:t>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ctr">
                    <a:defRPr sz="900" b="1" i="0" u="none" strike="noStrike" kern="1200" baseline="0">
                      <a:solidFill>
                        <a:schemeClr val="bg1"/>
                      </a:solidFill>
                      <a:latin typeface="+mj-lt"/>
                      <a:ea typeface="+mn-ea"/>
                      <a:cs typeface="+mn-cs"/>
                    </a:defRPr>
                  </a:pPr>
                  <a:endParaRPr lang="bg-BG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068076245394844"/>
                      <c:h val="0.12442492680886659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5"/>
              <c:layout>
                <c:manualLayout>
                  <c:x val="-0.18771550120386801"/>
                  <c:y val="-0.1117257300177503"/>
                </c:manualLayout>
              </c:layout>
              <c:tx>
                <c:rich>
                  <a:bodyPr/>
                  <a:lstStyle/>
                  <a:p>
                    <a:fld id="{326319A9-DA7D-41AB-975A-29F4452272D7}" type="CATEGORYNAME">
                      <a:rPr lang="bg-BG"/>
                      <a:pPr/>
                      <a:t>[CATEGORY NAME]</a:t>
                    </a:fld>
                    <a:r>
                      <a:rPr lang="bg-BG" baseline="0"/>
                      <a:t> (</a:t>
                    </a:r>
                    <a:fld id="{9DE67995-69BA-4A0C-A114-B8335DAEC710}" type="VALUE">
                      <a:rPr lang="bg-BG" baseline="0"/>
                      <a:pPr/>
                      <a:t>[VALUE]</a:t>
                    </a:fld>
                    <a:r>
                      <a:rPr lang="bg-BG" baseline="0"/>
                      <a:t>)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6"/>
              <c:layout>
                <c:manualLayout>
                  <c:x val="-1.9221528111484872E-2"/>
                  <c:y val="2.232453063818715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l"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j-lt"/>
                        <a:ea typeface="+mn-ea"/>
                        <a:cs typeface="+mn-cs"/>
                      </a:defRPr>
                    </a:pPr>
                    <a:r>
                      <a:rPr lang="bg-BG"/>
                      <a:t>Доживотен затвор без замяна</a:t>
                    </a:r>
                    <a:r>
                      <a:rPr lang="bg-BG" baseline="0"/>
                      <a:t> (</a:t>
                    </a:r>
                    <a:fld id="{0C835169-BB03-47C7-8D05-9F2152518624}" type="VALUE">
                      <a:rPr lang="en-US" baseline="0"/>
                      <a:pPr algn="l">
                        <a:defRPr b="1">
                          <a:latin typeface="+mj-lt"/>
                        </a:defRPr>
                      </a:pPr>
                      <a:t>[VALUE]</a:t>
                    </a:fld>
                    <a:r>
                      <a:rPr lang="en-US" baseline="0"/>
                      <a:t>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l"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j-lt"/>
                      <a:ea typeface="+mn-ea"/>
                      <a:cs typeface="+mn-cs"/>
                    </a:defRPr>
                  </a:pPr>
                  <a:endParaRPr lang="bg-BG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916866890917829"/>
                      <c:h val="0.12024257632789628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7"/>
              <c:layout>
                <c:manualLayout>
                  <c:x val="-6.8364568316514496E-2"/>
                  <c:y val="-8.582150255057514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j-lt"/>
                        <a:ea typeface="+mn-ea"/>
                        <a:cs typeface="+mn-cs"/>
                      </a:defRPr>
                    </a:pPr>
                    <a:r>
                      <a:rPr lang="bg-BG"/>
                      <a:t>лишаване от права</a:t>
                    </a:r>
                    <a:r>
                      <a:rPr lang="bg-BG" baseline="0"/>
                      <a:t>
(2)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j-lt"/>
                      <a:ea typeface="+mn-ea"/>
                      <a:cs typeface="+mn-cs"/>
                    </a:defRPr>
                  </a:pPr>
                  <a:endParaRPr lang="bg-BG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4859830411635834"/>
                      <c:h val="0.10309493935591803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j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'[Р‘СЂРѕР№ РјРѕР»РёС‚РµР»Рё СЃ СЂРµС€РµРЅРё РјРѕР»Р±Рё, РїРѕ РІРёРґ РЅР°РєР°Р·Р°РЅРёРµ.xlsx]2011-01-12 - 2015-07-01'!$D$1:$K$1</c:f>
              <c:strCache>
                <c:ptCount val="8"/>
                <c:pt idx="0">
                  <c:v>Глоба</c:v>
                </c:pt>
                <c:pt idx="1">
                  <c:v>Условно лишаване от свобода</c:v>
                </c:pt>
                <c:pt idx="2">
                  <c:v>Лишаване от свобода до 10 години включително</c:v>
                </c:pt>
                <c:pt idx="3">
                  <c:v>Лишаване от свобода от 10 до 19 години</c:v>
                </c:pt>
                <c:pt idx="4">
                  <c:v>Лишаване от свобода 20 и повече години</c:v>
                </c:pt>
                <c:pt idx="5">
                  <c:v>Доживотен затвор</c:v>
                </c:pt>
                <c:pt idx="6">
                  <c:v>Доживотен затвор без право на замяна</c:v>
                </c:pt>
                <c:pt idx="7">
                  <c:v>Лишаване от права</c:v>
                </c:pt>
              </c:strCache>
            </c:strRef>
          </c:cat>
          <c:val>
            <c:numRef>
              <c:f>'[Р‘СЂРѕР№ РјРѕР»РёС‚РµР»Рё СЃ СЂРµС€РµРЅРё РјРѕР»Р±Рё, РїРѕ РІРёРґ РЅР°РєР°Р·Р°РЅРёРµ.xlsx]2011-01-12 - 2015-07-01'!$D$2:$K$2</c:f>
              <c:numCache>
                <c:formatCode>General</c:formatCode>
                <c:ptCount val="8"/>
                <c:pt idx="0">
                  <c:v>3</c:v>
                </c:pt>
                <c:pt idx="1">
                  <c:v>1</c:v>
                </c:pt>
                <c:pt idx="2">
                  <c:v>70</c:v>
                </c:pt>
                <c:pt idx="3">
                  <c:v>23</c:v>
                </c:pt>
                <c:pt idx="4">
                  <c:v>13</c:v>
                </c:pt>
                <c:pt idx="5">
                  <c:v>1</c:v>
                </c:pt>
                <c:pt idx="6">
                  <c:v>3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5">
        <a:lumMod val="20000"/>
        <a:lumOff val="80000"/>
        <a:alpha val="30000"/>
      </a:schemeClr>
    </a:solidFill>
    <a:ln w="9525" cap="flat" cmpd="sng" algn="ctr">
      <a:noFill/>
      <a:round/>
    </a:ln>
    <a:effectLst/>
  </c:spPr>
  <c:txPr>
    <a:bodyPr/>
    <a:lstStyle/>
    <a:p>
      <a:pPr algn="l">
        <a:defRPr/>
      </a:pPr>
      <a:endParaRPr lang="bg-BG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100" b="1">
                <a:latin typeface="+mj-lt"/>
              </a:rPr>
              <a:t>Графика 6. Разпределение</a:t>
            </a:r>
            <a:r>
              <a:rPr lang="bg-BG" sz="1100" b="1" baseline="0">
                <a:latin typeface="+mj-lt"/>
              </a:rPr>
              <a:t> на молителите с решени молби според мястото, в което изтърпяват наказанието си</a:t>
            </a:r>
            <a:endParaRPr lang="en-GB" sz="1100" b="1">
              <a:latin typeface="+mj-lt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l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0.26658772449180973"/>
          <c:y val="0.31726223615987398"/>
          <c:w val="0.68999407933688572"/>
          <c:h val="0.63279438555029111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'2011-01-12 - 2015-07-01'!$E$1:$P$1</c:f>
              <c:strCache>
                <c:ptCount val="12"/>
                <c:pt idx="0">
                  <c:v>Стара Загора</c:v>
                </c:pt>
                <c:pt idx="1">
                  <c:v>София</c:v>
                </c:pt>
                <c:pt idx="2">
                  <c:v>Сливен</c:v>
                </c:pt>
                <c:pt idx="3">
                  <c:v>Пловдив</c:v>
                </c:pt>
                <c:pt idx="4">
                  <c:v>Плевен</c:v>
                </c:pt>
                <c:pt idx="5">
                  <c:v>Пазарджик</c:v>
                </c:pt>
                <c:pt idx="6">
                  <c:v>Ловеч</c:v>
                </c:pt>
                <c:pt idx="7">
                  <c:v>Враца</c:v>
                </c:pt>
                <c:pt idx="8">
                  <c:v>Варна</c:v>
                </c:pt>
                <c:pt idx="9">
                  <c:v>Бургас</c:v>
                </c:pt>
                <c:pt idx="10">
                  <c:v>Бобов дол</c:v>
                </c:pt>
                <c:pt idx="11">
                  <c:v>Белене</c:v>
                </c:pt>
              </c:strCache>
            </c:strRef>
          </c:cat>
          <c:val>
            <c:numRef>
              <c:f>'2011-01-12 - 2015-07-01'!$E$2:$P$2</c:f>
              <c:numCache>
                <c:formatCode>General</c:formatCode>
                <c:ptCount val="12"/>
                <c:pt idx="0">
                  <c:v>11</c:v>
                </c:pt>
                <c:pt idx="1">
                  <c:v>24</c:v>
                </c:pt>
                <c:pt idx="2">
                  <c:v>3</c:v>
                </c:pt>
                <c:pt idx="3">
                  <c:v>2</c:v>
                </c:pt>
                <c:pt idx="4">
                  <c:v>9</c:v>
                </c:pt>
                <c:pt idx="5">
                  <c:v>4</c:v>
                </c:pt>
                <c:pt idx="6">
                  <c:v>8</c:v>
                </c:pt>
                <c:pt idx="7">
                  <c:v>9</c:v>
                </c:pt>
                <c:pt idx="8">
                  <c:v>4</c:v>
                </c:pt>
                <c:pt idx="9">
                  <c:v>4</c:v>
                </c:pt>
                <c:pt idx="10">
                  <c:v>7</c:v>
                </c:pt>
                <c:pt idx="11">
                  <c:v>22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86882144"/>
        <c:axId val="386882704"/>
      </c:barChart>
      <c:catAx>
        <c:axId val="3868821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n-ea"/>
                <a:cs typeface="+mn-cs"/>
              </a:defRPr>
            </a:pPr>
            <a:endParaRPr lang="bg-BG"/>
          </a:p>
        </c:txPr>
        <c:crossAx val="386882704"/>
        <c:crosses val="autoZero"/>
        <c:auto val="1"/>
        <c:lblAlgn val="ctr"/>
        <c:lblOffset val="100"/>
        <c:noMultiLvlLbl val="0"/>
      </c:catAx>
      <c:valAx>
        <c:axId val="3868827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86882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5">
        <a:lumMod val="20000"/>
        <a:lumOff val="80000"/>
        <a:alpha val="23000"/>
      </a:schemeClr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100" b="1">
                <a:latin typeface="+mj-lt"/>
              </a:rPr>
              <a:t>Графика 7.</a:t>
            </a:r>
            <a:r>
              <a:rPr lang="bg-BG" sz="1100" b="1" baseline="0">
                <a:latin typeface="+mj-lt"/>
              </a:rPr>
              <a:t> Осъдените молители по възраст</a:t>
            </a:r>
            <a:endParaRPr lang="en-GB" sz="1100" b="1">
              <a:latin typeface="+mj-lt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'[Р‘СЂРѕР№ РјРѕР»РёС‚РµР»Рё СЃ СЂРµС€РµРЅРё РјРѕР»Р±Рё, РїРѕ РІСЉР·СЂР°СЃС‚ (1).xlsx]2012-02-12 - 2015-07-01'!$D$1:$I$1</c:f>
              <c:strCache>
                <c:ptCount val="6"/>
                <c:pt idx="0">
                  <c:v>21 - 30 г.</c:v>
                </c:pt>
                <c:pt idx="1">
                  <c:v>31 - 40 г.</c:v>
                </c:pt>
                <c:pt idx="2">
                  <c:v>41 - 50 г.</c:v>
                </c:pt>
                <c:pt idx="3">
                  <c:v>51 - 60 г.</c:v>
                </c:pt>
                <c:pt idx="4">
                  <c:v>61 - 70 г.</c:v>
                </c:pt>
                <c:pt idx="5">
                  <c:v>Над 70 г.</c:v>
                </c:pt>
              </c:strCache>
            </c:strRef>
          </c:cat>
          <c:val>
            <c:numRef>
              <c:f>'[Р‘СЂРѕР№ РјРѕР»РёС‚РµР»Рё СЃ СЂРµС€РµРЅРё РјРѕР»Р±Рё, РїРѕ РІСЉР·СЂР°СЃС‚ (1).xlsx]2012-02-12 - 2015-07-01'!$D$2:$I$2</c:f>
              <c:numCache>
                <c:formatCode>General</c:formatCode>
                <c:ptCount val="6"/>
                <c:pt idx="0">
                  <c:v>18</c:v>
                </c:pt>
                <c:pt idx="1">
                  <c:v>36</c:v>
                </c:pt>
                <c:pt idx="2">
                  <c:v>29</c:v>
                </c:pt>
                <c:pt idx="3">
                  <c:v>14</c:v>
                </c:pt>
                <c:pt idx="4">
                  <c:v>7</c:v>
                </c:pt>
                <c:pt idx="5">
                  <c:v>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86884944"/>
        <c:axId val="386885504"/>
      </c:barChart>
      <c:catAx>
        <c:axId val="386884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386885504"/>
        <c:crosses val="autoZero"/>
        <c:auto val="1"/>
        <c:lblAlgn val="ctr"/>
        <c:lblOffset val="100"/>
        <c:noMultiLvlLbl val="0"/>
      </c:catAx>
      <c:valAx>
        <c:axId val="3868855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86884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5">
        <a:lumMod val="20000"/>
        <a:lumOff val="80000"/>
        <a:alpha val="12000"/>
      </a:schemeClr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4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5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0.90587</cdr:y>
    </cdr:from>
    <cdr:to>
      <cdr:x>1</cdr:x>
      <cdr:y>0.98862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3162300"/>
          <a:ext cx="5205412" cy="288886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0.00798</cdr:x>
      <cdr:y>0.91315</cdr:y>
    </cdr:from>
    <cdr:to>
      <cdr:x>0.71266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9658" y="2797791"/>
          <a:ext cx="5264886" cy="266083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0.20137</cdr:x>
      <cdr:y>0.06115</cdr:y>
    </cdr:from>
    <cdr:to>
      <cdr:x>0.94237</cdr:x>
      <cdr:y>0.36475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405357" y="106401"/>
          <a:ext cx="1491587" cy="5282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l" rtl="0"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r>
            <a:rPr lang="bg-BG" sz="1100" b="1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effectLst/>
              <a:latin typeface="+mj-lt"/>
              <a:ea typeface="+mn-ea"/>
              <a:cs typeface="+mn-cs"/>
            </a:rPr>
            <a:t>Графика 4. Нива на риска от рецидив</a:t>
          </a:r>
          <a:endParaRPr lang="bg-BG" sz="110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</cdr:x>
      <cdr:y>0.84977</cdr:y>
    </cdr:from>
    <cdr:to>
      <cdr:x>0.99665</cdr:x>
      <cdr:y>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0" y="2545307"/>
          <a:ext cx="3951027" cy="4499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bg-BG" sz="1100" b="1">
              <a:latin typeface="+mj-lt"/>
            </a:rPr>
            <a:t>Графика 5. Наложени наказания на осъдените молители с решени с отказ молби за помилване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793CF-DFEA-4CF8-B345-006499F6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2309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ОТЧЕТЕН ДОКЛАД</vt:lpstr>
    </vt:vector>
  </TitlesOfParts>
  <Company>ADMP</Company>
  <LinksUpToDate>false</LinksUpToDate>
  <CharactersWithSpaces>15446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ОТЧЕТЕН ДОКЛАД</dc:title>
  <dc:subject>НА КОМИСИЯТА ПО ПОМИЛВАНЕТО</dc:subject>
  <dc:creator>23.ФЕВРУАРИ – 31.МАРТ.2012 г.</dc:creator>
  <cp:lastModifiedBy>Iva Pushkarova</cp:lastModifiedBy>
  <cp:revision>2</cp:revision>
  <cp:lastPrinted>2015-07-15T11:20:00Z</cp:lastPrinted>
  <dcterms:created xsi:type="dcterms:W3CDTF">2015-07-16T06:20:00Z</dcterms:created>
  <dcterms:modified xsi:type="dcterms:W3CDTF">2015-07-16T06:20:00Z</dcterms:modified>
</cp:coreProperties>
</file>