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23" w:rsidRDefault="00AA6743" w:rsidP="007C3967">
      <w:pPr>
        <w:tabs>
          <w:tab w:val="left" w:pos="2268"/>
        </w:tabs>
      </w:pPr>
      <w:r>
        <w:rPr>
          <w:noProof/>
        </w:rPr>
        <w:drawing>
          <wp:anchor distT="0" distB="0" distL="114300" distR="114300" simplePos="0" relativeHeight="251653120"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9"/>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939"/>
      </w:tblGrid>
      <w:tr w:rsidR="00C12523">
        <w:tc>
          <w:tcPr>
            <w:tcW w:w="0" w:type="auto"/>
          </w:tcPr>
          <w:p w:rsidR="00C12523" w:rsidRPr="00E411D2" w:rsidRDefault="00DF08CC" w:rsidP="00DF08CC">
            <w:pPr>
              <w:pStyle w:val="NoSpacing"/>
              <w:rPr>
                <w:rFonts w:ascii="Cambria" w:hAnsi="Cambria"/>
                <w:b/>
                <w:sz w:val="72"/>
                <w:szCs w:val="72"/>
              </w:rPr>
            </w:pPr>
            <w:r>
              <w:rPr>
                <w:rFonts w:ascii="Cambria" w:hAnsi="Cambria"/>
                <w:b/>
                <w:sz w:val="72"/>
                <w:szCs w:val="72"/>
                <w:lang w:val="bg-BG"/>
              </w:rPr>
              <w:t>ТРИМЕСЕЧЕН</w:t>
            </w:r>
            <w:r w:rsidR="0022080A">
              <w:rPr>
                <w:rFonts w:ascii="Cambria" w:hAnsi="Cambria"/>
                <w:b/>
                <w:sz w:val="72"/>
                <w:szCs w:val="72"/>
                <w:lang w:val="bg-BG"/>
              </w:rPr>
              <w:t xml:space="preserve"> </w:t>
            </w:r>
            <w:r>
              <w:rPr>
                <w:rFonts w:ascii="Cambria" w:hAnsi="Cambria"/>
                <w:b/>
                <w:sz w:val="72"/>
                <w:szCs w:val="72"/>
                <w:lang w:val="bg-BG"/>
              </w:rPr>
              <w:t>ОТЧЕТ</w:t>
            </w:r>
            <w:r w:rsidR="00C12523" w:rsidRPr="00E411D2">
              <w:rPr>
                <w:rFonts w:ascii="Cambria" w:hAnsi="Cambria"/>
                <w:b/>
                <w:sz w:val="72"/>
                <w:szCs w:val="72"/>
                <w:lang w:val="bg-BG"/>
              </w:rPr>
              <w:t xml:space="preserve"> </w:t>
            </w:r>
          </w:p>
        </w:tc>
      </w:tr>
      <w:tr w:rsidR="00C12523">
        <w:tc>
          <w:tcPr>
            <w:tcW w:w="0" w:type="auto"/>
          </w:tcPr>
          <w:p w:rsidR="00C12523" w:rsidRPr="00E411D2" w:rsidRDefault="00C12523" w:rsidP="000B4FD2">
            <w:pPr>
              <w:pStyle w:val="NoSpacing"/>
              <w:rPr>
                <w:b/>
                <w:sz w:val="40"/>
                <w:szCs w:val="40"/>
              </w:rPr>
            </w:pPr>
            <w:r w:rsidRPr="00E411D2">
              <w:rPr>
                <w:b/>
                <w:sz w:val="40"/>
                <w:szCs w:val="40"/>
                <w:lang w:val="bg-BG"/>
              </w:rPr>
              <w:t>НА КОМИСИЯТА ПО ПОМИЛВАНЕТО</w:t>
            </w:r>
          </w:p>
        </w:tc>
      </w:tr>
      <w:tr w:rsidR="00C12523">
        <w:tc>
          <w:tcPr>
            <w:tcW w:w="0" w:type="auto"/>
          </w:tcPr>
          <w:p w:rsidR="00C12523" w:rsidRPr="00DF08CC" w:rsidRDefault="00DF08CC" w:rsidP="00B43B4C">
            <w:pPr>
              <w:pStyle w:val="NoSpacing"/>
              <w:rPr>
                <w:b/>
                <w:sz w:val="28"/>
                <w:szCs w:val="28"/>
                <w:lang w:val="bg-BG"/>
              </w:rPr>
            </w:pPr>
            <w:r>
              <w:rPr>
                <w:b/>
                <w:sz w:val="28"/>
                <w:szCs w:val="28"/>
                <w:lang w:val="bg-BG"/>
              </w:rPr>
              <w:t xml:space="preserve">01 </w:t>
            </w:r>
            <w:r w:rsidR="00B43B4C">
              <w:rPr>
                <w:b/>
                <w:sz w:val="28"/>
                <w:szCs w:val="28"/>
                <w:lang w:val="bg-BG"/>
              </w:rPr>
              <w:t>АПРИЛ</w:t>
            </w:r>
            <w:r w:rsidR="0022080A">
              <w:rPr>
                <w:b/>
                <w:sz w:val="28"/>
                <w:szCs w:val="28"/>
                <w:lang w:val="bg-BG"/>
              </w:rPr>
              <w:t xml:space="preserve"> </w:t>
            </w:r>
            <w:r w:rsidR="002F23FE">
              <w:rPr>
                <w:b/>
                <w:sz w:val="28"/>
                <w:szCs w:val="28"/>
                <w:lang w:val="bg-BG"/>
              </w:rPr>
              <w:t xml:space="preserve"> –</w:t>
            </w:r>
            <w:r w:rsidR="00921B9B">
              <w:rPr>
                <w:b/>
                <w:sz w:val="28"/>
                <w:szCs w:val="28"/>
                <w:lang w:val="bg-BG"/>
              </w:rPr>
              <w:t xml:space="preserve"> </w:t>
            </w:r>
            <w:r>
              <w:rPr>
                <w:b/>
                <w:sz w:val="28"/>
                <w:szCs w:val="28"/>
                <w:lang w:val="bg-BG"/>
              </w:rPr>
              <w:t>3</w:t>
            </w:r>
            <w:r w:rsidR="00B43B4C">
              <w:rPr>
                <w:b/>
                <w:sz w:val="28"/>
                <w:szCs w:val="28"/>
                <w:lang w:val="bg-BG"/>
              </w:rPr>
              <w:t>0</w:t>
            </w:r>
            <w:r>
              <w:rPr>
                <w:b/>
                <w:sz w:val="28"/>
                <w:szCs w:val="28"/>
                <w:lang w:val="bg-BG"/>
              </w:rPr>
              <w:t xml:space="preserve"> </w:t>
            </w:r>
            <w:r w:rsidR="00B43B4C">
              <w:rPr>
                <w:b/>
                <w:sz w:val="28"/>
                <w:szCs w:val="28"/>
                <w:lang w:val="bg-BG"/>
              </w:rPr>
              <w:t>ЮНИ</w:t>
            </w:r>
            <w:r>
              <w:rPr>
                <w:b/>
                <w:sz w:val="28"/>
                <w:szCs w:val="28"/>
                <w:lang w:val="bg-BG"/>
              </w:rPr>
              <w:t xml:space="preserve">  </w:t>
            </w:r>
            <w:r w:rsidR="002F23FE">
              <w:rPr>
                <w:b/>
                <w:sz w:val="28"/>
                <w:szCs w:val="28"/>
                <w:lang w:val="bg-BG"/>
              </w:rPr>
              <w:t>201</w:t>
            </w:r>
            <w:r w:rsidR="0022080A">
              <w:rPr>
                <w:b/>
                <w:sz w:val="28"/>
                <w:szCs w:val="28"/>
                <w:lang w:val="bg-BG"/>
              </w:rPr>
              <w:t>6</w:t>
            </w:r>
            <w:r>
              <w:rPr>
                <w:b/>
                <w:sz w:val="28"/>
                <w:szCs w:val="28"/>
                <w:lang w:val="bg-BG"/>
              </w:rPr>
              <w:t xml:space="preserve"> </w:t>
            </w:r>
            <w:r w:rsidR="002F23FE">
              <w:rPr>
                <w:b/>
                <w:sz w:val="28"/>
                <w:szCs w:val="28"/>
                <w:lang w:val="bg-BG"/>
              </w:rPr>
              <w:t>г.</w:t>
            </w:r>
          </w:p>
        </w:tc>
      </w:tr>
    </w:tbl>
    <w:p w:rsidR="00C12523" w:rsidRPr="00716CFA" w:rsidRDefault="00C12523" w:rsidP="000B4FD2">
      <w:pPr>
        <w:rPr>
          <w:rFonts w:asciiTheme="majorHAnsi" w:hAnsiTheme="majorHAnsi" w:cs="Calibri"/>
          <w:sz w:val="26"/>
          <w:szCs w:val="26"/>
        </w:rPr>
      </w:pPr>
      <w:r w:rsidRPr="00716CFA">
        <w:rPr>
          <w:rFonts w:asciiTheme="majorHAnsi" w:hAnsiTheme="majorHAnsi" w:cs="Calibri"/>
          <w:sz w:val="26"/>
          <w:szCs w:val="26"/>
        </w:rPr>
        <w:t>Администрация на Президента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Pr="001F67EB" w:rsidRDefault="001F67EB" w:rsidP="001F67EB">
      <w:pPr>
        <w:ind w:left="708" w:firstLine="708"/>
        <w:rPr>
          <w:b/>
          <w:sz w:val="26"/>
          <w:szCs w:val="26"/>
        </w:rPr>
      </w:pPr>
      <w:r w:rsidRPr="001F67EB">
        <w:rPr>
          <w:b/>
          <w:sz w:val="26"/>
          <w:szCs w:val="26"/>
        </w:rPr>
        <w:t>СЪДЪРЖАНИЕ:</w:t>
      </w:r>
    </w:p>
    <w:p w:rsidR="001F67EB" w:rsidRDefault="001F67EB" w:rsidP="001F67EB">
      <w:pPr>
        <w:pStyle w:val="ListParagraph"/>
        <w:ind w:left="1776"/>
        <w:rPr>
          <w:sz w:val="26"/>
          <w:szCs w:val="26"/>
        </w:rPr>
      </w:pPr>
    </w:p>
    <w:p w:rsidR="00921B9B" w:rsidRDefault="001F67EB" w:rsidP="00921B9B">
      <w:pPr>
        <w:pStyle w:val="ListParagraph"/>
        <w:numPr>
          <w:ilvl w:val="0"/>
          <w:numId w:val="25"/>
        </w:numPr>
        <w:rPr>
          <w:b/>
          <w:sz w:val="26"/>
          <w:szCs w:val="26"/>
        </w:rPr>
      </w:pPr>
      <w:r w:rsidRPr="004E3DBD">
        <w:rPr>
          <w:b/>
          <w:sz w:val="26"/>
          <w:szCs w:val="26"/>
        </w:rPr>
        <w:t>Дейност по разглеждане на молби за помилване</w:t>
      </w:r>
      <w:r w:rsidR="00921B9B" w:rsidRPr="004E3DBD">
        <w:rPr>
          <w:b/>
          <w:sz w:val="26"/>
          <w:szCs w:val="26"/>
        </w:rPr>
        <w:t xml:space="preserve"> и статистически данни</w:t>
      </w:r>
    </w:p>
    <w:p w:rsidR="004E3DBD" w:rsidRPr="004E3DBD" w:rsidRDefault="004E3DBD" w:rsidP="004E3DBD">
      <w:pPr>
        <w:pStyle w:val="ListParagraph"/>
        <w:rPr>
          <w:b/>
          <w:sz w:val="26"/>
          <w:szCs w:val="26"/>
        </w:rPr>
      </w:pPr>
    </w:p>
    <w:p w:rsidR="0022080A" w:rsidRDefault="004E3DBD" w:rsidP="00921B9B">
      <w:pPr>
        <w:pStyle w:val="ListParagraph"/>
        <w:numPr>
          <w:ilvl w:val="0"/>
          <w:numId w:val="25"/>
        </w:numPr>
        <w:rPr>
          <w:b/>
          <w:sz w:val="26"/>
          <w:szCs w:val="26"/>
        </w:rPr>
      </w:pPr>
      <w:r w:rsidRPr="004E3DBD">
        <w:rPr>
          <w:b/>
          <w:sz w:val="26"/>
          <w:szCs w:val="26"/>
        </w:rPr>
        <w:t>Практика на Комисията по помилването</w:t>
      </w:r>
    </w:p>
    <w:p w:rsidR="004E3DBD" w:rsidRPr="004E3DBD" w:rsidRDefault="004E3DBD" w:rsidP="004E3DBD">
      <w:pPr>
        <w:pStyle w:val="ListParagraph"/>
        <w:ind w:left="1776"/>
        <w:rPr>
          <w:b/>
          <w:sz w:val="26"/>
          <w:szCs w:val="26"/>
        </w:rPr>
      </w:pPr>
    </w:p>
    <w:p w:rsidR="004E3DBD" w:rsidRDefault="004E3DBD" w:rsidP="004E3DBD">
      <w:pPr>
        <w:pStyle w:val="ListParagraph"/>
        <w:numPr>
          <w:ilvl w:val="1"/>
          <w:numId w:val="25"/>
        </w:numPr>
        <w:ind w:left="2610"/>
        <w:rPr>
          <w:sz w:val="26"/>
          <w:szCs w:val="26"/>
        </w:rPr>
      </w:pPr>
      <w:r>
        <w:rPr>
          <w:sz w:val="26"/>
          <w:szCs w:val="26"/>
        </w:rPr>
        <w:t>Предложения за прекратяване на разглеждането</w:t>
      </w:r>
    </w:p>
    <w:p w:rsidR="004E3DBD" w:rsidRDefault="004E3DBD" w:rsidP="004E3DBD">
      <w:pPr>
        <w:pStyle w:val="ListParagraph"/>
        <w:numPr>
          <w:ilvl w:val="1"/>
          <w:numId w:val="25"/>
        </w:numPr>
        <w:tabs>
          <w:tab w:val="left" w:pos="2610"/>
        </w:tabs>
        <w:ind w:left="2610"/>
        <w:rPr>
          <w:sz w:val="26"/>
          <w:szCs w:val="26"/>
        </w:rPr>
      </w:pPr>
      <w:r>
        <w:rPr>
          <w:sz w:val="26"/>
          <w:szCs w:val="26"/>
        </w:rPr>
        <w:t>Предложения за отказ от упражняване на правото на помилване</w:t>
      </w:r>
    </w:p>
    <w:p w:rsidR="004E3DBD" w:rsidRDefault="004E3DBD" w:rsidP="004E3DBD">
      <w:pPr>
        <w:pStyle w:val="ListParagraph"/>
        <w:numPr>
          <w:ilvl w:val="1"/>
          <w:numId w:val="25"/>
        </w:numPr>
        <w:tabs>
          <w:tab w:val="left" w:pos="2610"/>
        </w:tabs>
        <w:ind w:left="2610"/>
        <w:rPr>
          <w:sz w:val="26"/>
          <w:szCs w:val="26"/>
        </w:rPr>
      </w:pPr>
      <w:r>
        <w:rPr>
          <w:sz w:val="26"/>
          <w:szCs w:val="26"/>
        </w:rPr>
        <w:t>Предложения за помилване</w:t>
      </w:r>
    </w:p>
    <w:p w:rsidR="004E3DBD" w:rsidRDefault="004E3DBD" w:rsidP="004E3DBD">
      <w:pPr>
        <w:pStyle w:val="ListParagraph"/>
        <w:tabs>
          <w:tab w:val="left" w:pos="2610"/>
        </w:tabs>
        <w:ind w:left="2610"/>
        <w:rPr>
          <w:sz w:val="26"/>
          <w:szCs w:val="26"/>
        </w:rPr>
      </w:pPr>
    </w:p>
    <w:p w:rsidR="0022080A" w:rsidRPr="004E3DBD" w:rsidRDefault="00DF08CC" w:rsidP="001F67EB">
      <w:pPr>
        <w:pStyle w:val="ListParagraph"/>
        <w:numPr>
          <w:ilvl w:val="0"/>
          <w:numId w:val="25"/>
        </w:numPr>
        <w:rPr>
          <w:b/>
          <w:sz w:val="26"/>
          <w:szCs w:val="26"/>
        </w:rPr>
      </w:pPr>
      <w:r>
        <w:rPr>
          <w:b/>
          <w:sz w:val="26"/>
          <w:szCs w:val="26"/>
        </w:rPr>
        <w:t>Допълнителни дейности и стажантско обучение</w:t>
      </w:r>
    </w:p>
    <w:p w:rsidR="00C3577A" w:rsidRDefault="00C3577A" w:rsidP="00C3577A">
      <w:pPr>
        <w:rPr>
          <w:rFonts w:ascii="Calibri" w:hAnsi="Calibri" w:cs="Calibri"/>
          <w:sz w:val="20"/>
          <w:szCs w:val="20"/>
        </w:rPr>
      </w:pPr>
    </w:p>
    <w:p w:rsidR="00C3577A" w:rsidRDefault="00C3577A" w:rsidP="00C3577A">
      <w:pPr>
        <w:rPr>
          <w:rFonts w:ascii="Calibri" w:hAnsi="Calibri" w:cs="Calibri"/>
          <w:sz w:val="20"/>
          <w:szCs w:val="20"/>
        </w:rPr>
      </w:pPr>
    </w:p>
    <w:p w:rsidR="00BC55F9" w:rsidRDefault="00BC55F9" w:rsidP="00C3577A">
      <w:pPr>
        <w:jc w:val="center"/>
        <w:rPr>
          <w:rFonts w:asciiTheme="majorHAnsi" w:hAnsiTheme="majorHAnsi" w:cs="Calibri"/>
          <w:sz w:val="20"/>
          <w:szCs w:val="20"/>
        </w:rPr>
      </w:pPr>
    </w:p>
    <w:p w:rsidR="004B1E22" w:rsidRDefault="004B1E22"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DF08CC" w:rsidRDefault="00DF08CC" w:rsidP="00C3577A">
      <w:pPr>
        <w:jc w:val="center"/>
        <w:rPr>
          <w:rFonts w:asciiTheme="majorHAnsi" w:hAnsiTheme="majorHAnsi" w:cs="Calibri"/>
          <w:sz w:val="20"/>
          <w:szCs w:val="20"/>
        </w:rPr>
      </w:pPr>
    </w:p>
    <w:p w:rsidR="00BC55F9" w:rsidRDefault="00BC55F9" w:rsidP="00C3577A">
      <w:pPr>
        <w:jc w:val="center"/>
        <w:rPr>
          <w:rFonts w:asciiTheme="majorHAnsi" w:hAnsiTheme="majorHAnsi" w:cs="Calibri"/>
          <w:sz w:val="20"/>
          <w:szCs w:val="20"/>
        </w:rPr>
      </w:pPr>
    </w:p>
    <w:p w:rsidR="00C12523" w:rsidRPr="00BC55F9" w:rsidRDefault="00C12523" w:rsidP="00C3577A">
      <w:pPr>
        <w:jc w:val="center"/>
        <w:rPr>
          <w:rFonts w:asciiTheme="majorHAnsi" w:hAnsiTheme="majorHAnsi" w:cs="Calibri"/>
          <w:sz w:val="20"/>
          <w:szCs w:val="20"/>
        </w:rPr>
      </w:pPr>
      <w:r w:rsidRPr="00BC55F9">
        <w:rPr>
          <w:rFonts w:asciiTheme="majorHAnsi" w:hAnsiTheme="majorHAnsi" w:cs="Calibri"/>
          <w:sz w:val="20"/>
          <w:szCs w:val="20"/>
        </w:rPr>
        <w:t>На основание чл. 7(4) от Правилата за работа на Комисията по помилването (ПРКП),</w:t>
      </w:r>
    </w:p>
    <w:p w:rsidR="009222CF" w:rsidRPr="008A2A31" w:rsidRDefault="00C12523" w:rsidP="00BC55F9">
      <w:pPr>
        <w:ind w:right="-336"/>
        <w:jc w:val="center"/>
        <w:rPr>
          <w:rFonts w:asciiTheme="majorHAnsi" w:hAnsiTheme="majorHAnsi"/>
          <w:sz w:val="22"/>
          <w:szCs w:val="22"/>
        </w:rPr>
      </w:pPr>
      <w:r w:rsidRPr="00BC55F9">
        <w:rPr>
          <w:rFonts w:asciiTheme="majorHAnsi" w:hAnsiTheme="majorHAnsi" w:cs="Calibri"/>
          <w:sz w:val="20"/>
          <w:szCs w:val="20"/>
        </w:rPr>
        <w:t xml:space="preserve">утвърдени с Указ № 80/23.02.2012 г. </w:t>
      </w:r>
      <w:r w:rsidR="00166B10" w:rsidRPr="00BC55F9">
        <w:rPr>
          <w:rFonts w:asciiTheme="majorHAnsi" w:hAnsiTheme="majorHAnsi" w:cs="Calibri"/>
          <w:sz w:val="20"/>
          <w:szCs w:val="20"/>
        </w:rPr>
        <w:t xml:space="preserve">и изменени с Указ № 23/18.02.2014 г. </w:t>
      </w:r>
      <w:r w:rsidRPr="00BC55F9">
        <w:rPr>
          <w:rFonts w:asciiTheme="majorHAnsi" w:hAnsiTheme="majorHAnsi" w:cs="Calibri"/>
          <w:sz w:val="20"/>
          <w:szCs w:val="20"/>
        </w:rPr>
        <w:t>на Президента на Република България</w:t>
      </w:r>
    </w:p>
    <w:p w:rsidR="00A86172" w:rsidRPr="00B84450" w:rsidRDefault="004B1E22" w:rsidP="00DF08CC">
      <w:pPr>
        <w:jc w:val="center"/>
        <w:rPr>
          <w:rFonts w:asciiTheme="majorHAnsi" w:hAnsiTheme="majorHAnsi"/>
          <w:b/>
          <w:sz w:val="28"/>
          <w:szCs w:val="28"/>
        </w:rPr>
      </w:pPr>
      <w:r>
        <w:rPr>
          <w:rFonts w:asciiTheme="majorHAnsi" w:hAnsiTheme="majorHAnsi"/>
          <w:b/>
          <w:sz w:val="28"/>
          <w:szCs w:val="28"/>
        </w:rPr>
        <w:br w:type="page"/>
      </w:r>
      <w:r w:rsidR="009D21D2" w:rsidRPr="009D21D2">
        <w:rPr>
          <w:rFonts w:asciiTheme="majorHAnsi" w:hAnsiTheme="majorHAnsi"/>
          <w:b/>
          <w:sz w:val="28"/>
          <w:szCs w:val="28"/>
        </w:rPr>
        <w:lastRenderedPageBreak/>
        <w:t>1. </w:t>
      </w:r>
      <w:r w:rsidR="00A86172" w:rsidRPr="00B84450">
        <w:rPr>
          <w:rFonts w:asciiTheme="majorHAnsi" w:hAnsiTheme="majorHAnsi"/>
          <w:b/>
          <w:sz w:val="28"/>
          <w:szCs w:val="28"/>
        </w:rPr>
        <w:t>ДЕЙНОСТ ПО РАЗГЛЕЖДАНЕ НА МОЛБИ ЗА ПОМИЛВАНЕ</w:t>
      </w:r>
    </w:p>
    <w:p w:rsidR="002A6283" w:rsidRDefault="002A6283" w:rsidP="002A6283">
      <w:pPr>
        <w:ind w:firstLine="708"/>
        <w:jc w:val="both"/>
        <w:rPr>
          <w:rFonts w:asciiTheme="majorHAnsi" w:hAnsiTheme="majorHAnsi"/>
        </w:rPr>
      </w:pPr>
    </w:p>
    <w:p w:rsidR="00BD62CA" w:rsidRDefault="003301BC" w:rsidP="00BD62CA">
      <w:pPr>
        <w:pStyle w:val="ListParagraph"/>
        <w:ind w:left="0" w:firstLine="708"/>
        <w:jc w:val="both"/>
        <w:rPr>
          <w:rFonts w:asciiTheme="majorHAnsi" w:hAnsiTheme="majorHAnsi"/>
        </w:rPr>
      </w:pPr>
      <w:r>
        <w:rPr>
          <w:rFonts w:asciiTheme="majorHAnsi" w:hAnsiTheme="majorHAnsi"/>
        </w:rPr>
        <w:t xml:space="preserve">През </w:t>
      </w:r>
      <w:r w:rsidR="00B43B4C">
        <w:rPr>
          <w:rFonts w:asciiTheme="majorHAnsi" w:hAnsiTheme="majorHAnsi"/>
        </w:rPr>
        <w:tab/>
        <w:t xml:space="preserve">второто </w:t>
      </w:r>
      <w:r>
        <w:rPr>
          <w:rFonts w:asciiTheme="majorHAnsi" w:hAnsiTheme="majorHAnsi"/>
        </w:rPr>
        <w:t>тримесечие на 2016 г.</w:t>
      </w:r>
      <w:r w:rsidRPr="00DD22A2">
        <w:rPr>
          <w:rFonts w:asciiTheme="majorHAnsi" w:hAnsiTheme="majorHAnsi"/>
        </w:rPr>
        <w:t xml:space="preserve"> Комисията е провела </w:t>
      </w:r>
      <w:r w:rsidR="006D1279">
        <w:rPr>
          <w:rFonts w:asciiTheme="majorHAnsi" w:hAnsiTheme="majorHAnsi"/>
          <w:b/>
        </w:rPr>
        <w:t>5</w:t>
      </w:r>
      <w:r w:rsidRPr="00DD22A2">
        <w:rPr>
          <w:rFonts w:asciiTheme="majorHAnsi" w:hAnsiTheme="majorHAnsi"/>
          <w:b/>
        </w:rPr>
        <w:t xml:space="preserve"> заседания</w:t>
      </w:r>
      <w:r w:rsidRPr="00DD22A2">
        <w:rPr>
          <w:rFonts w:asciiTheme="majorHAnsi" w:hAnsiTheme="majorHAnsi"/>
        </w:rPr>
        <w:t xml:space="preserve">, на които е решила </w:t>
      </w:r>
      <w:r w:rsidRPr="00DD22A2">
        <w:rPr>
          <w:rFonts w:asciiTheme="majorHAnsi" w:hAnsiTheme="majorHAnsi"/>
          <w:b/>
        </w:rPr>
        <w:t xml:space="preserve">общо </w:t>
      </w:r>
      <w:r w:rsidR="00BB6939">
        <w:rPr>
          <w:rFonts w:asciiTheme="majorHAnsi" w:hAnsiTheme="majorHAnsi"/>
          <w:b/>
        </w:rPr>
        <w:t>103</w:t>
      </w:r>
      <w:r w:rsidRPr="00DD22A2">
        <w:rPr>
          <w:rFonts w:asciiTheme="majorHAnsi" w:hAnsiTheme="majorHAnsi"/>
          <w:b/>
        </w:rPr>
        <w:t xml:space="preserve"> молби</w:t>
      </w:r>
      <w:r w:rsidR="00C16B5C" w:rsidRPr="00C16B5C">
        <w:rPr>
          <w:rFonts w:asciiTheme="majorHAnsi" w:hAnsiTheme="majorHAnsi"/>
        </w:rPr>
        <w:t>, подадени</w:t>
      </w:r>
      <w:r w:rsidRPr="00DD22A2">
        <w:rPr>
          <w:rFonts w:asciiTheme="majorHAnsi" w:hAnsiTheme="majorHAnsi"/>
        </w:rPr>
        <w:t xml:space="preserve"> за общо </w:t>
      </w:r>
      <w:r w:rsidR="00C16B5C">
        <w:rPr>
          <w:rFonts w:asciiTheme="majorHAnsi" w:hAnsiTheme="majorHAnsi"/>
          <w:b/>
        </w:rPr>
        <w:t>65</w:t>
      </w:r>
      <w:r w:rsidRPr="00DD22A2">
        <w:rPr>
          <w:rFonts w:asciiTheme="majorHAnsi" w:hAnsiTheme="majorHAnsi"/>
          <w:b/>
        </w:rPr>
        <w:t xml:space="preserve"> осъдени лица</w:t>
      </w:r>
      <w:r w:rsidRPr="00DD22A2">
        <w:rPr>
          <w:rFonts w:asciiTheme="majorHAnsi" w:hAnsiTheme="majorHAnsi"/>
        </w:rPr>
        <w:t xml:space="preserve">. </w:t>
      </w:r>
      <w:r w:rsidR="00BD62CA" w:rsidRPr="00DD22A2">
        <w:rPr>
          <w:rFonts w:asciiTheme="majorHAnsi" w:hAnsiTheme="majorHAnsi"/>
        </w:rPr>
        <w:t xml:space="preserve">Общият брой </w:t>
      </w:r>
      <w:r w:rsidR="00BD62CA" w:rsidRPr="00DD22A2">
        <w:rPr>
          <w:rFonts w:asciiTheme="majorHAnsi" w:hAnsiTheme="majorHAnsi"/>
          <w:b/>
        </w:rPr>
        <w:t xml:space="preserve">молители е </w:t>
      </w:r>
      <w:r w:rsidR="00BD62CA">
        <w:rPr>
          <w:rFonts w:asciiTheme="majorHAnsi" w:hAnsiTheme="majorHAnsi"/>
          <w:b/>
        </w:rPr>
        <w:t>74</w:t>
      </w:r>
      <w:r w:rsidR="00BD62CA" w:rsidRPr="00DD22A2">
        <w:rPr>
          <w:rFonts w:asciiTheme="majorHAnsi" w:hAnsiTheme="majorHAnsi"/>
          <w:b/>
        </w:rPr>
        <w:t>,</w:t>
      </w:r>
      <w:r w:rsidR="00BD62CA" w:rsidRPr="00DD22A2">
        <w:rPr>
          <w:rFonts w:asciiTheme="majorHAnsi" w:hAnsiTheme="majorHAnsi"/>
        </w:rPr>
        <w:t xml:space="preserve"> от които </w:t>
      </w:r>
      <w:r w:rsidR="00BD62CA">
        <w:rPr>
          <w:rFonts w:asciiTheme="majorHAnsi" w:hAnsiTheme="majorHAnsi"/>
          <w:b/>
        </w:rPr>
        <w:t>7</w:t>
      </w:r>
      <w:r w:rsidR="00BD62CA" w:rsidRPr="00DD22A2">
        <w:rPr>
          <w:rFonts w:asciiTheme="majorHAnsi" w:hAnsiTheme="majorHAnsi"/>
        </w:rPr>
        <w:t xml:space="preserve"> </w:t>
      </w:r>
      <w:r w:rsidR="00BD62CA">
        <w:rPr>
          <w:rFonts w:asciiTheme="majorHAnsi" w:hAnsiTheme="majorHAnsi"/>
        </w:rPr>
        <w:t xml:space="preserve">са близки на осъдения и </w:t>
      </w:r>
      <w:r w:rsidR="00BD62CA">
        <w:rPr>
          <w:rFonts w:asciiTheme="majorHAnsi" w:hAnsiTheme="majorHAnsi"/>
          <w:b/>
        </w:rPr>
        <w:t>2</w:t>
      </w:r>
      <w:r w:rsidR="00BD62CA">
        <w:rPr>
          <w:rFonts w:asciiTheme="majorHAnsi" w:hAnsiTheme="majorHAnsi"/>
        </w:rPr>
        <w:t xml:space="preserve"> са адвокати. </w:t>
      </w:r>
    </w:p>
    <w:tbl>
      <w:tblPr>
        <w:tblStyle w:val="TableGrid"/>
        <w:tblpPr w:leftFromText="141" w:rightFromText="141" w:vertAnchor="page" w:horzAnchor="margin" w:tblpY="3151"/>
        <w:tblW w:w="11054" w:type="dxa"/>
        <w:tblLayout w:type="fixed"/>
        <w:tblLook w:val="04A0" w:firstRow="1" w:lastRow="0" w:firstColumn="1" w:lastColumn="0" w:noHBand="0" w:noVBand="1"/>
      </w:tblPr>
      <w:tblGrid>
        <w:gridCol w:w="1273"/>
        <w:gridCol w:w="567"/>
        <w:gridCol w:w="567"/>
        <w:gridCol w:w="567"/>
        <w:gridCol w:w="554"/>
        <w:gridCol w:w="864"/>
        <w:gridCol w:w="567"/>
        <w:gridCol w:w="396"/>
        <w:gridCol w:w="1276"/>
        <w:gridCol w:w="992"/>
        <w:gridCol w:w="851"/>
        <w:gridCol w:w="538"/>
        <w:gridCol w:w="454"/>
        <w:gridCol w:w="964"/>
        <w:gridCol w:w="624"/>
      </w:tblGrid>
      <w:tr w:rsidR="00275840" w:rsidRPr="009222CF" w:rsidTr="00275840">
        <w:tc>
          <w:tcPr>
            <w:tcW w:w="11054" w:type="dxa"/>
            <w:gridSpan w:val="15"/>
            <w:tcBorders>
              <w:top w:val="single" w:sz="4" w:space="0" w:color="auto"/>
              <w:left w:val="single" w:sz="4" w:space="0" w:color="auto"/>
              <w:bottom w:val="single" w:sz="4" w:space="0" w:color="auto"/>
              <w:right w:val="single" w:sz="4" w:space="0" w:color="auto"/>
            </w:tcBorders>
          </w:tcPr>
          <w:p w:rsidR="00275840" w:rsidRPr="009222CF" w:rsidRDefault="00275840" w:rsidP="00275840">
            <w:pPr>
              <w:ind w:left="-142" w:right="113" w:firstLine="142"/>
              <w:rPr>
                <w:rFonts w:asciiTheme="majorHAnsi" w:hAnsiTheme="majorHAnsi"/>
                <w:b/>
                <w:sz w:val="19"/>
                <w:szCs w:val="19"/>
              </w:rPr>
            </w:pPr>
            <w:r w:rsidRPr="009222CF">
              <w:rPr>
                <w:rFonts w:asciiTheme="majorHAnsi" w:hAnsiTheme="majorHAnsi"/>
                <w:b/>
                <w:sz w:val="19"/>
                <w:szCs w:val="19"/>
              </w:rPr>
              <w:t>Таблица 1: Обща справка за движението на молбите за помилване</w:t>
            </w:r>
            <w:r>
              <w:rPr>
                <w:rStyle w:val="FootnoteReference"/>
                <w:rFonts w:asciiTheme="majorHAnsi" w:hAnsiTheme="majorHAnsi"/>
                <w:sz w:val="19"/>
                <w:szCs w:val="19"/>
              </w:rPr>
              <w:footnoteReference w:id="1"/>
            </w:r>
          </w:p>
        </w:tc>
      </w:tr>
      <w:tr w:rsidR="00275840" w:rsidRPr="009222CF" w:rsidTr="00275840">
        <w:tc>
          <w:tcPr>
            <w:tcW w:w="1273" w:type="dxa"/>
            <w:vMerge w:val="restart"/>
            <w:tcBorders>
              <w:top w:val="single" w:sz="4" w:space="0" w:color="auto"/>
              <w:left w:val="single" w:sz="4" w:space="0" w:color="auto"/>
              <w:bottom w:val="single" w:sz="4" w:space="0" w:color="auto"/>
              <w:right w:val="single" w:sz="4" w:space="0" w:color="auto"/>
            </w:tcBorders>
            <w:hideMark/>
          </w:tcPr>
          <w:p w:rsidR="00275840" w:rsidRPr="009222CF" w:rsidRDefault="00275840" w:rsidP="00275840">
            <w:pPr>
              <w:rPr>
                <w:rFonts w:asciiTheme="majorHAnsi" w:hAnsiTheme="majorHAnsi"/>
                <w:b/>
                <w:sz w:val="19"/>
                <w:szCs w:val="19"/>
              </w:rPr>
            </w:pPr>
          </w:p>
          <w:p w:rsidR="00275840" w:rsidRPr="009222CF" w:rsidRDefault="00275840" w:rsidP="00275840">
            <w:pPr>
              <w:rPr>
                <w:rFonts w:asciiTheme="majorHAnsi" w:hAnsiTheme="majorHAnsi"/>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275840" w:rsidRPr="009222CF" w:rsidRDefault="00275840" w:rsidP="00275840">
            <w:pPr>
              <w:ind w:left="113" w:right="113"/>
              <w:rPr>
                <w:rFonts w:asciiTheme="majorHAnsi" w:hAnsiTheme="majorHAnsi"/>
                <w:b/>
                <w:sz w:val="19"/>
                <w:szCs w:val="19"/>
              </w:rPr>
            </w:pPr>
            <w:r w:rsidRPr="009222CF">
              <w:rPr>
                <w:rFonts w:asciiTheme="majorHAnsi" w:hAnsiTheme="majorHAnsi"/>
                <w:b/>
                <w:sz w:val="19"/>
                <w:szCs w:val="19"/>
              </w:rPr>
              <w:t>Заварени</w:t>
            </w:r>
          </w:p>
          <w:p w:rsidR="00275840" w:rsidRPr="009222CF" w:rsidRDefault="00275840" w:rsidP="00275840">
            <w:pPr>
              <w:ind w:left="113" w:right="113"/>
              <w:rPr>
                <w:rFonts w:asciiTheme="majorHAnsi" w:hAnsiTheme="majorHAnsi"/>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b/>
                <w:sz w:val="19"/>
                <w:szCs w:val="19"/>
              </w:rPr>
            </w:pPr>
            <w:r w:rsidRPr="009222CF">
              <w:rPr>
                <w:rFonts w:asciiTheme="majorHAnsi" w:hAnsiTheme="majorHAnsi"/>
                <w:b/>
                <w:sz w:val="19"/>
                <w:szCs w:val="19"/>
              </w:rPr>
              <w:t>ПОЛУЧЕНИ</w:t>
            </w:r>
          </w:p>
        </w:tc>
        <w:tc>
          <w:tcPr>
            <w:tcW w:w="7059"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75840" w:rsidRPr="009222CF" w:rsidRDefault="00275840" w:rsidP="00275840">
            <w:pPr>
              <w:rPr>
                <w:rFonts w:asciiTheme="majorHAnsi" w:hAnsiTheme="majorHAnsi"/>
                <w:b/>
                <w:sz w:val="19"/>
                <w:szCs w:val="19"/>
              </w:rPr>
            </w:pPr>
            <w:r w:rsidRPr="009222CF">
              <w:rPr>
                <w:rFonts w:asciiTheme="majorHAnsi" w:hAnsiTheme="majorHAnsi"/>
                <w:b/>
                <w:sz w:val="19"/>
                <w:szCs w:val="19"/>
              </w:rPr>
              <w:t xml:space="preserve">РЕШЕНИ </w:t>
            </w:r>
            <w:r w:rsidRPr="009222CF">
              <w:rPr>
                <w:rFonts w:asciiTheme="majorHAnsi" w:hAnsiTheme="majorHAnsi"/>
                <w:sz w:val="19"/>
                <w:szCs w:val="19"/>
              </w:rPr>
              <w:t>с предложение за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275840" w:rsidRPr="009222CF" w:rsidRDefault="00275840" w:rsidP="00275840">
            <w:pPr>
              <w:ind w:right="-108"/>
              <w:rPr>
                <w:rFonts w:asciiTheme="majorHAnsi" w:hAnsiTheme="majorHAnsi"/>
                <w:b/>
                <w:sz w:val="19"/>
                <w:szCs w:val="19"/>
              </w:rPr>
            </w:pPr>
            <w:r w:rsidRPr="009222CF">
              <w:rPr>
                <w:rFonts w:asciiTheme="majorHAnsi" w:hAnsiTheme="majorHAnsi"/>
                <w:b/>
                <w:sz w:val="19"/>
                <w:szCs w:val="19"/>
              </w:rPr>
              <w:t xml:space="preserve">ВИСЯЩИ </w:t>
            </w:r>
          </w:p>
          <w:p w:rsidR="00275840" w:rsidRPr="009222CF" w:rsidRDefault="00275840" w:rsidP="00275840">
            <w:pPr>
              <w:rPr>
                <w:rFonts w:asciiTheme="majorHAnsi" w:hAnsiTheme="majorHAnsi"/>
                <w:sz w:val="19"/>
                <w:szCs w:val="19"/>
              </w:rPr>
            </w:pPr>
            <w:r w:rsidRPr="009222CF">
              <w:rPr>
                <w:rFonts w:asciiTheme="majorHAnsi" w:hAnsiTheme="majorHAnsi"/>
                <w:sz w:val="19"/>
                <w:szCs w:val="19"/>
              </w:rPr>
              <w:t xml:space="preserve">пред КП в края на </w:t>
            </w:r>
            <w:r>
              <w:rPr>
                <w:rFonts w:asciiTheme="majorHAnsi" w:hAnsiTheme="majorHAnsi"/>
                <w:sz w:val="19"/>
                <w:szCs w:val="19"/>
              </w:rPr>
              <w:t>периода</w:t>
            </w:r>
            <w:r w:rsidRPr="009222CF">
              <w:rPr>
                <w:rFonts w:asciiTheme="majorHAnsi" w:hAnsiTheme="majorHAnsi"/>
                <w:sz w:val="19"/>
                <w:szCs w:val="19"/>
              </w:rPr>
              <w:t xml:space="preserve"> </w:t>
            </w:r>
            <w:r w:rsidRPr="009222CF">
              <w:rPr>
                <w:rFonts w:asciiTheme="majorHAnsi" w:hAnsiTheme="majorHAnsi"/>
                <w:sz w:val="19"/>
                <w:szCs w:val="19"/>
                <w:lang w:val="en-US"/>
              </w:rPr>
              <w:t>(</w:t>
            </w:r>
            <w:r w:rsidRPr="009222CF">
              <w:rPr>
                <w:rFonts w:asciiTheme="majorHAnsi" w:hAnsiTheme="majorHAnsi"/>
                <w:sz w:val="19"/>
                <w:szCs w:val="19"/>
              </w:rPr>
              <w:t>разпре-делени)</w:t>
            </w:r>
          </w:p>
        </w:tc>
        <w:tc>
          <w:tcPr>
            <w:tcW w:w="624" w:type="dxa"/>
            <w:vMerge w:val="restart"/>
            <w:tcBorders>
              <w:top w:val="single" w:sz="4" w:space="0" w:color="auto"/>
              <w:left w:val="single" w:sz="4" w:space="0" w:color="auto"/>
              <w:bottom w:val="single" w:sz="4" w:space="0" w:color="auto"/>
              <w:right w:val="single" w:sz="4" w:space="0" w:color="auto"/>
            </w:tcBorders>
            <w:textDirection w:val="btLr"/>
          </w:tcPr>
          <w:p w:rsidR="00275840" w:rsidRPr="009222CF" w:rsidRDefault="00275840" w:rsidP="00275840">
            <w:pPr>
              <w:ind w:left="113" w:right="113"/>
              <w:rPr>
                <w:rFonts w:asciiTheme="majorHAnsi" w:hAnsiTheme="majorHAnsi"/>
                <w:b/>
                <w:sz w:val="19"/>
                <w:szCs w:val="19"/>
              </w:rPr>
            </w:pPr>
            <w:r w:rsidRPr="009222CF">
              <w:rPr>
                <w:rFonts w:asciiTheme="majorHAnsi" w:hAnsiTheme="majorHAnsi"/>
                <w:b/>
                <w:sz w:val="19"/>
                <w:szCs w:val="19"/>
              </w:rPr>
              <w:t xml:space="preserve">Чакат справки </w:t>
            </w:r>
            <w:r w:rsidRPr="009222CF">
              <w:rPr>
                <w:rFonts w:asciiTheme="majorHAnsi" w:hAnsiTheme="majorHAnsi"/>
                <w:sz w:val="19"/>
                <w:szCs w:val="19"/>
              </w:rPr>
              <w:t>(края на мес.)</w:t>
            </w:r>
          </w:p>
        </w:tc>
      </w:tr>
      <w:tr w:rsidR="00275840" w:rsidRPr="009222CF" w:rsidTr="00275840">
        <w:trPr>
          <w:trHeight w:val="305"/>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275840" w:rsidRPr="009222CF" w:rsidRDefault="00275840" w:rsidP="00275840">
            <w:pPr>
              <w:ind w:left="113" w:right="113"/>
              <w:rPr>
                <w:rFonts w:asciiTheme="majorHAnsi" w:hAnsiTheme="majorHAnsi"/>
                <w:b/>
                <w:sz w:val="19"/>
                <w:szCs w:val="19"/>
              </w:rPr>
            </w:pPr>
            <w:r w:rsidRPr="009222CF">
              <w:rPr>
                <w:rFonts w:asciiTheme="majorHAnsi" w:hAnsiTheme="majorHAnsi"/>
                <w:b/>
                <w:sz w:val="19"/>
                <w:szCs w:val="19"/>
              </w:rPr>
              <w:t>Общо решени</w:t>
            </w:r>
          </w:p>
        </w:tc>
        <w:tc>
          <w:tcPr>
            <w:tcW w:w="550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75840" w:rsidRPr="009222CF" w:rsidRDefault="00275840" w:rsidP="00275840">
            <w:pPr>
              <w:rPr>
                <w:rFonts w:asciiTheme="majorHAnsi" w:hAnsiTheme="majorHAnsi"/>
                <w:b/>
                <w:sz w:val="19"/>
                <w:szCs w:val="19"/>
                <w:lang w:val="en-US"/>
              </w:rPr>
            </w:pPr>
            <w:r w:rsidRPr="009222CF">
              <w:rPr>
                <w:rFonts w:asciiTheme="majorHAnsi" w:hAnsiTheme="majorHAnsi"/>
                <w:b/>
                <w:sz w:val="19"/>
                <w:szCs w:val="19"/>
              </w:rPr>
              <w:t>Прекратяване</w:t>
            </w:r>
            <w:r w:rsidRPr="009222CF">
              <w:rPr>
                <w:rFonts w:asciiTheme="majorHAnsi" w:hAnsiTheme="majorHAnsi"/>
                <w:b/>
                <w:sz w:val="19"/>
                <w:szCs w:val="19"/>
                <w:lang w:val="en-US"/>
              </w:rPr>
              <w:t xml:space="preserve"> </w:t>
            </w:r>
          </w:p>
        </w:tc>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b/>
                <w:sz w:val="19"/>
                <w:szCs w:val="19"/>
                <w:lang w:val="en-US"/>
              </w:rPr>
            </w:pPr>
            <w:r w:rsidRPr="009222CF">
              <w:rPr>
                <w:rFonts w:asciiTheme="majorHAnsi" w:hAnsiTheme="majorHAnsi"/>
                <w:b/>
                <w:sz w:val="19"/>
                <w:szCs w:val="19"/>
              </w:rPr>
              <w:t>Отказ</w:t>
            </w:r>
            <w:r w:rsidRPr="009222CF">
              <w:rPr>
                <w:rFonts w:asciiTheme="majorHAnsi" w:hAnsiTheme="majorHAnsi"/>
                <w:b/>
                <w:sz w:val="19"/>
                <w:szCs w:val="19"/>
                <w:lang w:val="en-US"/>
              </w:rPr>
              <w:t xml:space="preserve"> </w:t>
            </w:r>
          </w:p>
        </w:tc>
        <w:tc>
          <w:tcPr>
            <w:tcW w:w="454" w:type="dxa"/>
            <w:vMerge w:val="restart"/>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b/>
                <w:sz w:val="19"/>
                <w:szCs w:val="19"/>
              </w:rPr>
            </w:pPr>
            <w:r w:rsidRPr="009222CF">
              <w:rPr>
                <w:rFonts w:asciiTheme="majorHAnsi" w:hAnsiTheme="majorHAnsi"/>
                <w:b/>
                <w:sz w:val="19"/>
                <w:szCs w:val="19"/>
              </w:rPr>
              <w:t>Помилване</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sz w:val="19"/>
                <w:szCs w:val="19"/>
              </w:rPr>
            </w:pPr>
          </w:p>
        </w:tc>
      </w:tr>
      <w:tr w:rsidR="00275840" w:rsidRPr="009222CF" w:rsidTr="00275840">
        <w:trPr>
          <w:cantSplit/>
          <w:trHeight w:val="2136"/>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275840" w:rsidRPr="009222CF" w:rsidRDefault="00275840" w:rsidP="00275840">
            <w:pPr>
              <w:ind w:left="113" w:right="113"/>
              <w:rPr>
                <w:rFonts w:asciiTheme="majorHAnsi" w:hAnsiTheme="majorHAnsi"/>
                <w:b/>
                <w:sz w:val="19"/>
                <w:szCs w:val="19"/>
              </w:rPr>
            </w:pPr>
            <w:r w:rsidRPr="009222CF">
              <w:rPr>
                <w:rFonts w:asciiTheme="majorHAnsi" w:hAnsiTheme="majorHAnsi"/>
                <w:b/>
                <w:sz w:val="19"/>
                <w:szCs w:val="19"/>
              </w:rPr>
              <w:t>общо</w:t>
            </w:r>
          </w:p>
        </w:tc>
        <w:tc>
          <w:tcPr>
            <w:tcW w:w="864" w:type="dxa"/>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sz w:val="19"/>
                <w:szCs w:val="19"/>
              </w:rPr>
            </w:pPr>
            <w:r w:rsidRPr="009222CF">
              <w:rPr>
                <w:rFonts w:asciiTheme="majorHAnsi" w:hAnsiTheme="majorHAnsi"/>
                <w:sz w:val="19"/>
                <w:szCs w:val="19"/>
              </w:rPr>
              <w:t>Няма нови обстоятелства след постановен отказ</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sz w:val="19"/>
                <w:szCs w:val="19"/>
              </w:rPr>
            </w:pPr>
            <w:r w:rsidRPr="009222CF">
              <w:rPr>
                <w:rFonts w:asciiTheme="majorHAnsi" w:hAnsiTheme="majorHAnsi"/>
                <w:sz w:val="19"/>
                <w:szCs w:val="19"/>
              </w:rPr>
              <w:t xml:space="preserve">Изтърпяно наказание (вкл. глоба) </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sz w:val="19"/>
                <w:szCs w:val="19"/>
              </w:rPr>
            </w:pPr>
            <w:r w:rsidRPr="009222CF">
              <w:rPr>
                <w:rFonts w:asciiTheme="majorHAnsi" w:hAnsiTheme="majorHAnsi"/>
                <w:sz w:val="19"/>
                <w:szCs w:val="19"/>
              </w:rPr>
              <w:t>Починал молител</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275840" w:rsidRPr="009222CF" w:rsidRDefault="00275840" w:rsidP="00275840">
            <w:pPr>
              <w:ind w:left="113" w:right="113"/>
              <w:rPr>
                <w:rFonts w:asciiTheme="majorHAnsi" w:hAnsiTheme="majorHAnsi"/>
                <w:sz w:val="19"/>
                <w:szCs w:val="19"/>
              </w:rPr>
            </w:pPr>
            <w:r w:rsidRPr="001229C6">
              <w:rPr>
                <w:rFonts w:asciiTheme="majorHAnsi" w:hAnsiTheme="majorHAnsi"/>
                <w:sz w:val="18"/>
                <w:szCs w:val="18"/>
              </w:rPr>
              <w:t>Молителят не търси помилване (амнистия, реабилитация, опрощаване на изпитателен срок</w:t>
            </w:r>
            <w:r>
              <w:rPr>
                <w:rFonts w:asciiTheme="majorHAnsi" w:hAnsiTheme="majorHAnsi"/>
                <w:sz w:val="18"/>
                <w:szCs w:val="18"/>
              </w:rPr>
              <w:t>, др.</w:t>
            </w:r>
            <w:r w:rsidRPr="001229C6">
              <w:rPr>
                <w:rFonts w:asciiTheme="majorHAnsi" w:hAnsiTheme="majorHAnsi"/>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extDirection w:val="btLr"/>
          </w:tcPr>
          <w:p w:rsidR="00275840" w:rsidRPr="009222CF" w:rsidRDefault="00275840" w:rsidP="00275840">
            <w:pPr>
              <w:ind w:left="113" w:right="113"/>
              <w:rPr>
                <w:rFonts w:asciiTheme="majorHAnsi" w:hAnsiTheme="majorHAnsi"/>
                <w:sz w:val="19"/>
                <w:szCs w:val="19"/>
              </w:rPr>
            </w:pPr>
            <w:r w:rsidRPr="009222CF">
              <w:rPr>
                <w:rFonts w:asciiTheme="majorHAnsi" w:hAnsiTheme="majorHAnsi"/>
                <w:sz w:val="19"/>
                <w:szCs w:val="19"/>
              </w:rPr>
              <w:t>Неприложимо помилване (висящ процес, чуждестранна присъда,  давност)</w:t>
            </w:r>
          </w:p>
        </w:tc>
        <w:tc>
          <w:tcPr>
            <w:tcW w:w="851" w:type="dxa"/>
            <w:tcBorders>
              <w:top w:val="single" w:sz="4" w:space="0" w:color="auto"/>
              <w:left w:val="single" w:sz="4" w:space="0" w:color="auto"/>
              <w:bottom w:val="single" w:sz="4" w:space="0" w:color="auto"/>
              <w:right w:val="single" w:sz="4" w:space="0" w:color="auto"/>
            </w:tcBorders>
            <w:textDirection w:val="btLr"/>
          </w:tcPr>
          <w:p w:rsidR="00275840" w:rsidRPr="009222CF" w:rsidRDefault="00275840" w:rsidP="00275840">
            <w:pPr>
              <w:ind w:left="113" w:right="113"/>
              <w:rPr>
                <w:rFonts w:asciiTheme="majorHAnsi" w:hAnsiTheme="majorHAnsi"/>
                <w:sz w:val="19"/>
                <w:szCs w:val="19"/>
              </w:rPr>
            </w:pPr>
            <w:r w:rsidRPr="009222CF">
              <w:rPr>
                <w:rFonts w:asciiTheme="majorHAnsi" w:hAnsiTheme="majorHAnsi"/>
                <w:sz w:val="19"/>
                <w:szCs w:val="19"/>
              </w:rPr>
              <w:t>Молителят отказва съдействие/оттегля молбата</w:t>
            </w: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lang w:val="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b/>
                <w:sz w:val="19"/>
                <w:szCs w:val="19"/>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275840" w:rsidRPr="009222CF" w:rsidRDefault="00275840" w:rsidP="00275840">
            <w:pPr>
              <w:rPr>
                <w:rFonts w:asciiTheme="majorHAnsi" w:hAnsiTheme="majorHAnsi"/>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sz w:val="19"/>
                <w:szCs w:val="19"/>
              </w:rPr>
            </w:pPr>
          </w:p>
        </w:tc>
      </w:tr>
      <w:tr w:rsidR="00275840" w:rsidRPr="009222CF" w:rsidTr="00275840">
        <w:tc>
          <w:tcPr>
            <w:tcW w:w="1273"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1-2016 г.</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50</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30</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75840" w:rsidRDefault="00275840" w:rsidP="00275840">
            <w:pPr>
              <w:rPr>
                <w:rFonts w:asciiTheme="majorHAnsi" w:hAnsiTheme="majorHAnsi"/>
                <w:sz w:val="19"/>
                <w:szCs w:val="19"/>
              </w:rPr>
            </w:pPr>
            <w:r>
              <w:rPr>
                <w:rFonts w:asciiTheme="majorHAnsi" w:hAnsiTheme="majorHAnsi"/>
                <w:sz w:val="19"/>
                <w:szCs w:val="19"/>
              </w:rPr>
              <w:t>9</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75840" w:rsidRDefault="00275840" w:rsidP="00275840">
            <w:pPr>
              <w:rPr>
                <w:rFonts w:asciiTheme="majorHAnsi" w:hAnsiTheme="majorHAnsi"/>
                <w:sz w:val="19"/>
                <w:szCs w:val="19"/>
              </w:rPr>
            </w:pPr>
            <w:r>
              <w:rPr>
                <w:rFonts w:asciiTheme="majorHAnsi" w:hAnsiTheme="majorHAnsi"/>
                <w:sz w:val="19"/>
                <w:szCs w:val="19"/>
              </w:rPr>
              <w:t>5</w:t>
            </w:r>
          </w:p>
        </w:tc>
        <w:tc>
          <w:tcPr>
            <w:tcW w:w="8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4</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92"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w:t>
            </w:r>
          </w:p>
        </w:tc>
        <w:tc>
          <w:tcPr>
            <w:tcW w:w="45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25</w:t>
            </w:r>
          </w:p>
        </w:tc>
      </w:tr>
      <w:tr w:rsidR="00275840" w:rsidRPr="009222CF" w:rsidTr="00275840">
        <w:tc>
          <w:tcPr>
            <w:tcW w:w="1273"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2-2016 г.</w:t>
            </w:r>
          </w:p>
        </w:tc>
        <w:tc>
          <w:tcPr>
            <w:tcW w:w="567" w:type="dxa"/>
            <w:tcBorders>
              <w:top w:val="single" w:sz="4" w:space="0" w:color="auto"/>
              <w:left w:val="single" w:sz="4" w:space="0" w:color="auto"/>
              <w:bottom w:val="single" w:sz="4" w:space="0" w:color="auto"/>
              <w:right w:val="single" w:sz="4" w:space="0" w:color="auto"/>
            </w:tcBorders>
          </w:tcPr>
          <w:p w:rsidR="00275840" w:rsidRPr="00DF08CC" w:rsidRDefault="00275840" w:rsidP="00275840">
            <w:pPr>
              <w:rPr>
                <w:rFonts w:asciiTheme="majorHAnsi" w:hAnsiTheme="majorHAnsi"/>
                <w:sz w:val="19"/>
                <w:szCs w:val="19"/>
                <w:lang w:val="en-US"/>
              </w:rPr>
            </w:pPr>
            <w:r>
              <w:rPr>
                <w:rFonts w:asciiTheme="majorHAnsi" w:hAnsiTheme="majorHAnsi"/>
                <w:sz w:val="19"/>
                <w:szCs w:val="19"/>
                <w:lang w:val="en-US"/>
              </w:rPr>
              <w:t>71</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34</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75840" w:rsidRDefault="00275840" w:rsidP="00275840">
            <w:pPr>
              <w:rPr>
                <w:rFonts w:asciiTheme="majorHAnsi" w:hAnsiTheme="majorHAnsi"/>
                <w:sz w:val="19"/>
                <w:szCs w:val="19"/>
              </w:rPr>
            </w:pPr>
            <w:r>
              <w:rPr>
                <w:rFonts w:asciiTheme="majorHAnsi" w:hAnsiTheme="majorHAnsi"/>
                <w:sz w:val="19"/>
                <w:szCs w:val="19"/>
              </w:rPr>
              <w:t>51</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75840" w:rsidRDefault="00275840" w:rsidP="00275840">
            <w:pPr>
              <w:rPr>
                <w:rFonts w:asciiTheme="majorHAnsi" w:hAnsiTheme="majorHAnsi"/>
                <w:sz w:val="19"/>
                <w:szCs w:val="19"/>
              </w:rPr>
            </w:pPr>
            <w:r>
              <w:rPr>
                <w:rFonts w:asciiTheme="majorHAnsi" w:hAnsiTheme="majorHAnsi"/>
                <w:sz w:val="19"/>
                <w:szCs w:val="19"/>
              </w:rPr>
              <w:t>4</w:t>
            </w:r>
          </w:p>
        </w:tc>
        <w:tc>
          <w:tcPr>
            <w:tcW w:w="8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w:t>
            </w:r>
          </w:p>
        </w:tc>
        <w:tc>
          <w:tcPr>
            <w:tcW w:w="39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92"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851"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47</w:t>
            </w:r>
          </w:p>
        </w:tc>
        <w:tc>
          <w:tcPr>
            <w:tcW w:w="45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26</w:t>
            </w:r>
          </w:p>
        </w:tc>
      </w:tr>
      <w:tr w:rsidR="00275840" w:rsidRPr="009222CF" w:rsidTr="00275840">
        <w:tc>
          <w:tcPr>
            <w:tcW w:w="1273"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3-2016 г.</w:t>
            </w:r>
          </w:p>
        </w:tc>
        <w:tc>
          <w:tcPr>
            <w:tcW w:w="567" w:type="dxa"/>
            <w:tcBorders>
              <w:top w:val="single" w:sz="4" w:space="0" w:color="auto"/>
              <w:left w:val="single" w:sz="4" w:space="0" w:color="auto"/>
              <w:bottom w:val="single" w:sz="4" w:space="0" w:color="auto"/>
              <w:right w:val="single" w:sz="4" w:space="0" w:color="auto"/>
            </w:tcBorders>
          </w:tcPr>
          <w:p w:rsidR="00275840" w:rsidRPr="00DF08CC" w:rsidRDefault="00275840" w:rsidP="00275840">
            <w:pPr>
              <w:rPr>
                <w:rFonts w:asciiTheme="majorHAnsi" w:hAnsiTheme="majorHAnsi"/>
                <w:sz w:val="19"/>
                <w:szCs w:val="19"/>
                <w:lang w:val="en-US"/>
              </w:rPr>
            </w:pPr>
            <w:r>
              <w:rPr>
                <w:rFonts w:asciiTheme="majorHAnsi" w:hAnsiTheme="majorHAnsi"/>
                <w:sz w:val="19"/>
                <w:szCs w:val="19"/>
                <w:lang w:val="en-US"/>
              </w:rPr>
              <w:t>54</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49</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75840" w:rsidRDefault="00275840" w:rsidP="00275840">
            <w:pPr>
              <w:rPr>
                <w:rFonts w:asciiTheme="majorHAnsi" w:hAnsiTheme="majorHAnsi"/>
                <w:sz w:val="19"/>
                <w:szCs w:val="19"/>
              </w:rPr>
            </w:pPr>
            <w:r>
              <w:rPr>
                <w:rFonts w:asciiTheme="majorHAnsi" w:hAnsiTheme="majorHAnsi"/>
                <w:sz w:val="19"/>
                <w:szCs w:val="19"/>
              </w:rPr>
              <w:t>61</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75840" w:rsidRDefault="00275840" w:rsidP="00275840">
            <w:pPr>
              <w:rPr>
                <w:rFonts w:asciiTheme="majorHAnsi" w:hAnsiTheme="majorHAnsi"/>
                <w:sz w:val="19"/>
                <w:szCs w:val="19"/>
              </w:rPr>
            </w:pPr>
            <w:r>
              <w:rPr>
                <w:rFonts w:asciiTheme="majorHAnsi" w:hAnsiTheme="majorHAnsi"/>
                <w:sz w:val="19"/>
                <w:szCs w:val="19"/>
              </w:rPr>
              <w:t>8</w:t>
            </w:r>
          </w:p>
        </w:tc>
        <w:tc>
          <w:tcPr>
            <w:tcW w:w="8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8</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92"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851"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52</w:t>
            </w:r>
          </w:p>
        </w:tc>
        <w:tc>
          <w:tcPr>
            <w:tcW w:w="45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w:t>
            </w:r>
            <w:r>
              <w:rPr>
                <w:rStyle w:val="FootnoteReference"/>
                <w:rFonts w:asciiTheme="majorHAnsi" w:hAnsiTheme="majorHAnsi"/>
                <w:sz w:val="19"/>
                <w:szCs w:val="19"/>
              </w:rPr>
              <w:footnoteReference w:id="2"/>
            </w:r>
          </w:p>
        </w:tc>
        <w:tc>
          <w:tcPr>
            <w:tcW w:w="9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58</w:t>
            </w:r>
          </w:p>
        </w:tc>
      </w:tr>
      <w:tr w:rsidR="00275840" w:rsidRPr="009222CF" w:rsidTr="00275840">
        <w:tc>
          <w:tcPr>
            <w:tcW w:w="1273"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4-2016 г.</w:t>
            </w:r>
          </w:p>
        </w:tc>
        <w:tc>
          <w:tcPr>
            <w:tcW w:w="567" w:type="dxa"/>
            <w:tcBorders>
              <w:top w:val="single" w:sz="4" w:space="0" w:color="auto"/>
              <w:left w:val="single" w:sz="4" w:space="0" w:color="auto"/>
              <w:bottom w:val="single" w:sz="4" w:space="0" w:color="auto"/>
              <w:right w:val="single" w:sz="4" w:space="0" w:color="auto"/>
            </w:tcBorders>
          </w:tcPr>
          <w:p w:rsidR="00275840" w:rsidRPr="005721EC" w:rsidRDefault="00275840" w:rsidP="00275840">
            <w:pPr>
              <w:rPr>
                <w:rFonts w:asciiTheme="majorHAnsi" w:hAnsiTheme="majorHAnsi"/>
                <w:sz w:val="19"/>
                <w:szCs w:val="19"/>
              </w:rPr>
            </w:pPr>
            <w:r>
              <w:rPr>
                <w:rFonts w:asciiTheme="majorHAnsi" w:hAnsiTheme="majorHAnsi"/>
                <w:sz w:val="19"/>
                <w:szCs w:val="19"/>
              </w:rPr>
              <w:t>42</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75840" w:rsidRDefault="00275840" w:rsidP="00275840">
            <w:pPr>
              <w:rPr>
                <w:rFonts w:asciiTheme="majorHAnsi" w:hAnsiTheme="majorHAnsi"/>
                <w:sz w:val="19"/>
                <w:szCs w:val="19"/>
              </w:rPr>
            </w:pPr>
            <w:r>
              <w:rPr>
                <w:rFonts w:asciiTheme="majorHAnsi" w:hAnsiTheme="majorHAnsi"/>
                <w:sz w:val="19"/>
                <w:szCs w:val="19"/>
              </w:rPr>
              <w:t>25</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8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92"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851"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25</w:t>
            </w:r>
          </w:p>
        </w:tc>
        <w:tc>
          <w:tcPr>
            <w:tcW w:w="45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17</w:t>
            </w:r>
          </w:p>
        </w:tc>
      </w:tr>
      <w:tr w:rsidR="00275840" w:rsidRPr="009222CF" w:rsidTr="00275840">
        <w:tc>
          <w:tcPr>
            <w:tcW w:w="1273"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5-2016 г.</w:t>
            </w:r>
          </w:p>
        </w:tc>
        <w:tc>
          <w:tcPr>
            <w:tcW w:w="567" w:type="dxa"/>
            <w:tcBorders>
              <w:top w:val="single" w:sz="4" w:space="0" w:color="auto"/>
              <w:left w:val="single" w:sz="4" w:space="0" w:color="auto"/>
              <w:bottom w:val="single" w:sz="4" w:space="0" w:color="auto"/>
              <w:right w:val="single" w:sz="4" w:space="0" w:color="auto"/>
            </w:tcBorders>
          </w:tcPr>
          <w:p w:rsidR="00275840" w:rsidRPr="005721EC" w:rsidRDefault="00275840" w:rsidP="00275840">
            <w:pPr>
              <w:rPr>
                <w:rFonts w:asciiTheme="majorHAnsi" w:hAnsiTheme="majorHAnsi"/>
                <w:sz w:val="19"/>
                <w:szCs w:val="19"/>
              </w:rPr>
            </w:pPr>
            <w:r>
              <w:rPr>
                <w:rFonts w:asciiTheme="majorHAnsi" w:hAnsiTheme="majorHAnsi"/>
                <w:sz w:val="19"/>
                <w:szCs w:val="19"/>
              </w:rPr>
              <w:t>48</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45</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75840" w:rsidRDefault="00275840" w:rsidP="00275840">
            <w:pPr>
              <w:rPr>
                <w:rFonts w:asciiTheme="majorHAnsi" w:hAnsiTheme="majorHAnsi"/>
                <w:sz w:val="19"/>
                <w:szCs w:val="19"/>
              </w:rPr>
            </w:pPr>
            <w:r>
              <w:rPr>
                <w:rFonts w:asciiTheme="majorHAnsi" w:hAnsiTheme="majorHAnsi"/>
                <w:sz w:val="19"/>
                <w:szCs w:val="19"/>
              </w:rPr>
              <w:t>21</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75840" w:rsidRDefault="00275840" w:rsidP="00275840">
            <w:pPr>
              <w:rPr>
                <w:rFonts w:asciiTheme="majorHAnsi" w:hAnsiTheme="majorHAnsi"/>
                <w:sz w:val="19"/>
                <w:szCs w:val="19"/>
              </w:rPr>
            </w:pPr>
            <w:r>
              <w:rPr>
                <w:rFonts w:asciiTheme="majorHAnsi" w:hAnsiTheme="majorHAnsi"/>
                <w:sz w:val="19"/>
                <w:szCs w:val="19"/>
              </w:rPr>
              <w:t>1</w:t>
            </w:r>
          </w:p>
        </w:tc>
        <w:tc>
          <w:tcPr>
            <w:tcW w:w="8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92"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20</w:t>
            </w:r>
          </w:p>
        </w:tc>
        <w:tc>
          <w:tcPr>
            <w:tcW w:w="45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22</w:t>
            </w:r>
          </w:p>
        </w:tc>
      </w:tr>
      <w:tr w:rsidR="00275840" w:rsidRPr="009222CF" w:rsidTr="00275840">
        <w:tc>
          <w:tcPr>
            <w:tcW w:w="1273"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6-2016 г.</w:t>
            </w:r>
          </w:p>
        </w:tc>
        <w:tc>
          <w:tcPr>
            <w:tcW w:w="567" w:type="dxa"/>
            <w:tcBorders>
              <w:top w:val="single" w:sz="4" w:space="0" w:color="auto"/>
              <w:left w:val="single" w:sz="4" w:space="0" w:color="auto"/>
              <w:bottom w:val="single" w:sz="4" w:space="0" w:color="auto"/>
              <w:right w:val="single" w:sz="4" w:space="0" w:color="auto"/>
            </w:tcBorders>
          </w:tcPr>
          <w:p w:rsidR="00275840" w:rsidRPr="005721EC" w:rsidRDefault="00275840" w:rsidP="00275840">
            <w:pPr>
              <w:rPr>
                <w:rFonts w:asciiTheme="majorHAnsi" w:hAnsiTheme="majorHAnsi"/>
                <w:sz w:val="19"/>
                <w:szCs w:val="19"/>
              </w:rPr>
            </w:pPr>
            <w:r>
              <w:rPr>
                <w:rFonts w:asciiTheme="majorHAnsi" w:hAnsiTheme="majorHAnsi"/>
                <w:sz w:val="19"/>
                <w:szCs w:val="19"/>
              </w:rPr>
              <w:t>72</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36</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75840" w:rsidRDefault="00275840" w:rsidP="00275840">
            <w:pPr>
              <w:rPr>
                <w:rFonts w:asciiTheme="majorHAnsi" w:hAnsiTheme="majorHAnsi"/>
                <w:sz w:val="19"/>
                <w:szCs w:val="19"/>
              </w:rPr>
            </w:pPr>
            <w:r>
              <w:rPr>
                <w:rFonts w:asciiTheme="majorHAnsi" w:hAnsiTheme="majorHAnsi"/>
                <w:sz w:val="19"/>
                <w:szCs w:val="19"/>
              </w:rPr>
              <w:t>57</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275840" w:rsidRDefault="00275840" w:rsidP="00275840">
            <w:pPr>
              <w:rPr>
                <w:rFonts w:asciiTheme="majorHAnsi" w:hAnsiTheme="majorHAnsi"/>
                <w:sz w:val="19"/>
                <w:szCs w:val="19"/>
              </w:rPr>
            </w:pPr>
            <w:r>
              <w:rPr>
                <w:rFonts w:asciiTheme="majorHAnsi" w:hAnsiTheme="majorHAnsi"/>
                <w:sz w:val="19"/>
                <w:szCs w:val="19"/>
              </w:rPr>
              <w:t>2</w:t>
            </w:r>
          </w:p>
        </w:tc>
        <w:tc>
          <w:tcPr>
            <w:tcW w:w="8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992"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1</w:t>
            </w:r>
          </w:p>
        </w:tc>
        <w:tc>
          <w:tcPr>
            <w:tcW w:w="851"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52</w:t>
            </w:r>
          </w:p>
        </w:tc>
        <w:tc>
          <w:tcPr>
            <w:tcW w:w="45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3</w:t>
            </w:r>
            <w:r>
              <w:rPr>
                <w:rStyle w:val="FootnoteReference"/>
                <w:rFonts w:asciiTheme="majorHAnsi" w:hAnsiTheme="majorHAnsi"/>
                <w:sz w:val="19"/>
                <w:szCs w:val="19"/>
              </w:rPr>
              <w:footnoteReference w:id="3"/>
            </w:r>
          </w:p>
        </w:tc>
        <w:tc>
          <w:tcPr>
            <w:tcW w:w="96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275840" w:rsidRDefault="00275840" w:rsidP="00275840">
            <w:pPr>
              <w:rPr>
                <w:rFonts w:asciiTheme="majorHAnsi" w:hAnsiTheme="majorHAnsi"/>
                <w:sz w:val="19"/>
                <w:szCs w:val="19"/>
              </w:rPr>
            </w:pPr>
            <w:r>
              <w:rPr>
                <w:rFonts w:asciiTheme="majorHAnsi" w:hAnsiTheme="majorHAnsi"/>
                <w:sz w:val="19"/>
                <w:szCs w:val="19"/>
              </w:rPr>
              <w:t>66</w:t>
            </w:r>
          </w:p>
        </w:tc>
      </w:tr>
      <w:tr w:rsidR="00275840" w:rsidRPr="009222CF" w:rsidTr="00275840">
        <w:tc>
          <w:tcPr>
            <w:tcW w:w="127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275840" w:rsidRPr="009222CF" w:rsidRDefault="00275840" w:rsidP="00275840">
            <w:pPr>
              <w:rPr>
                <w:rFonts w:asciiTheme="majorHAnsi" w:hAnsiTheme="majorHAnsi"/>
                <w:color w:val="FFFFFF" w:themeColor="background1"/>
                <w:sz w:val="19"/>
                <w:szCs w:val="19"/>
              </w:rPr>
            </w:pPr>
            <w:r w:rsidRPr="009222CF">
              <w:rPr>
                <w:rFonts w:asciiTheme="majorHAnsi" w:hAnsiTheme="majorHAnsi"/>
                <w:b/>
                <w:color w:val="FFFFFF" w:themeColor="background1"/>
                <w:sz w:val="19"/>
                <w:szCs w:val="19"/>
              </w:rPr>
              <w:t>ОБЩО</w:t>
            </w:r>
            <w:r w:rsidRPr="009222CF">
              <w:rPr>
                <w:rFonts w:asciiTheme="majorHAnsi" w:hAnsiTheme="majorHAnsi"/>
                <w:color w:val="FFFFFF" w:themeColor="background1"/>
                <w:sz w:val="19"/>
                <w:szCs w:val="19"/>
              </w:rPr>
              <w:t xml:space="preserve"> </w:t>
            </w:r>
          </w:p>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2016 г.</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5</w:t>
            </w:r>
            <w:r w:rsidRPr="009222CF">
              <w:rPr>
                <w:rFonts w:asciiTheme="majorHAnsi" w:hAnsiTheme="majorHAnsi"/>
                <w:color w:val="FFFFFF" w:themeColor="background1"/>
                <w:sz w:val="19"/>
                <w:szCs w:val="19"/>
              </w:rPr>
              <w:t>0</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7B19B8"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225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224</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20</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16</w:t>
            </w:r>
          </w:p>
          <w:p w:rsidR="00275840" w:rsidRPr="009222CF" w:rsidRDefault="00275840" w:rsidP="00275840">
            <w:pPr>
              <w:rPr>
                <w:rFonts w:asciiTheme="majorHAnsi" w:hAnsiTheme="majorHAnsi"/>
                <w:color w:val="FFFFFF" w:themeColor="background1"/>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1</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p>
        </w:tc>
        <w:tc>
          <w:tcPr>
            <w:tcW w:w="1276" w:type="dxa"/>
            <w:vMerge w:val="restart"/>
            <w:tcBorders>
              <w:top w:val="single" w:sz="4" w:space="0" w:color="auto"/>
              <w:left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p>
        </w:tc>
        <w:tc>
          <w:tcPr>
            <w:tcW w:w="992" w:type="dxa"/>
            <w:vMerge w:val="restart"/>
            <w:tcBorders>
              <w:top w:val="single" w:sz="4" w:space="0" w:color="auto"/>
              <w:left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3</w:t>
            </w:r>
          </w:p>
        </w:tc>
        <w:tc>
          <w:tcPr>
            <w:tcW w:w="851" w:type="dxa"/>
            <w:vMerge w:val="restart"/>
            <w:tcBorders>
              <w:top w:val="single" w:sz="4" w:space="0" w:color="auto"/>
              <w:left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199</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r>
              <w:rPr>
                <w:rFonts w:asciiTheme="majorHAnsi" w:hAnsiTheme="majorHAnsi"/>
                <w:color w:val="FFFFFF" w:themeColor="background1"/>
                <w:sz w:val="19"/>
                <w:szCs w:val="19"/>
              </w:rPr>
              <w:t>5</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9222CF" w:rsidRDefault="00275840" w:rsidP="00275840">
            <w:pPr>
              <w:rPr>
                <w:rFonts w:asciiTheme="majorHAnsi" w:hAnsiTheme="majorHAnsi"/>
                <w:color w:val="FFFFFF" w:themeColor="background1"/>
                <w:sz w:val="19"/>
                <w:szCs w:val="19"/>
              </w:rPr>
            </w:pPr>
          </w:p>
        </w:tc>
        <w:tc>
          <w:tcPr>
            <w:tcW w:w="62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275840" w:rsidRPr="007B19B8" w:rsidRDefault="00275840" w:rsidP="00275840">
            <w:pPr>
              <w:rPr>
                <w:rFonts w:asciiTheme="majorHAnsi" w:hAnsiTheme="majorHAnsi"/>
                <w:color w:val="FFFFFF" w:themeColor="background1"/>
                <w:sz w:val="19"/>
                <w:szCs w:val="19"/>
              </w:rPr>
            </w:pPr>
          </w:p>
        </w:tc>
      </w:tr>
      <w:tr w:rsidR="00275840" w:rsidRPr="009222CF" w:rsidTr="00275840">
        <w:tc>
          <w:tcPr>
            <w:tcW w:w="1273" w:type="dxa"/>
            <w:vMerge/>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hideMark/>
          </w:tcPr>
          <w:p w:rsidR="00275840" w:rsidRPr="009222CF" w:rsidRDefault="00275840" w:rsidP="00275840">
            <w:pPr>
              <w:rPr>
                <w:rFonts w:asciiTheme="majorHAnsi" w:hAnsiTheme="majorHAnsi"/>
                <w:color w:val="FFFFFF" w:themeColor="background1"/>
                <w:sz w:val="19"/>
                <w:szCs w:val="19"/>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275840" w:rsidRPr="007B19B8" w:rsidRDefault="00275840" w:rsidP="00275840">
            <w:pPr>
              <w:jc w:val="center"/>
              <w:rPr>
                <w:rFonts w:asciiTheme="majorHAnsi" w:hAnsiTheme="majorHAnsi"/>
                <w:b/>
                <w:color w:val="FFFFFF" w:themeColor="background1"/>
                <w:sz w:val="19"/>
                <w:szCs w:val="19"/>
              </w:rPr>
            </w:pPr>
            <w:r>
              <w:rPr>
                <w:rFonts w:asciiTheme="majorHAnsi" w:hAnsiTheme="majorHAnsi"/>
                <w:b/>
                <w:color w:val="FFFFFF" w:themeColor="background1"/>
                <w:sz w:val="19"/>
                <w:szCs w:val="19"/>
              </w:rPr>
              <w:t>275</w:t>
            </w:r>
          </w:p>
        </w:tc>
        <w:tc>
          <w:tcPr>
            <w:tcW w:w="567"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u w:val="single"/>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u w:val="single"/>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1276" w:type="dxa"/>
            <w:vMerge/>
            <w:tcBorders>
              <w:left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992" w:type="dxa"/>
            <w:vMerge/>
            <w:tcBorders>
              <w:left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851" w:type="dxa"/>
            <w:vMerge/>
            <w:tcBorders>
              <w:left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275840" w:rsidRPr="009222CF" w:rsidRDefault="00275840" w:rsidP="00275840">
            <w:pPr>
              <w:rPr>
                <w:rFonts w:asciiTheme="majorHAnsi" w:hAnsiTheme="majorHAnsi"/>
                <w:color w:val="FFFFFF" w:themeColor="background1"/>
                <w:sz w:val="19"/>
                <w:szCs w:val="19"/>
              </w:rPr>
            </w:pPr>
          </w:p>
        </w:tc>
      </w:tr>
    </w:tbl>
    <w:p w:rsidR="003301BC" w:rsidRDefault="003301BC" w:rsidP="003301BC">
      <w:pPr>
        <w:pStyle w:val="ListParagraph"/>
        <w:ind w:left="0" w:firstLine="708"/>
        <w:jc w:val="both"/>
        <w:rPr>
          <w:rFonts w:asciiTheme="majorHAnsi" w:hAnsiTheme="majorHAnsi"/>
        </w:rPr>
      </w:pPr>
    </w:p>
    <w:p w:rsidR="00DF08CC" w:rsidRDefault="003301BC" w:rsidP="00FF1FF2">
      <w:pPr>
        <w:pStyle w:val="ListParagraph"/>
        <w:ind w:left="0" w:firstLine="708"/>
        <w:jc w:val="both"/>
        <w:rPr>
          <w:rFonts w:asciiTheme="majorHAnsi" w:hAnsiTheme="majorHAnsi"/>
        </w:rPr>
      </w:pPr>
      <w:r w:rsidRPr="006D1279">
        <w:rPr>
          <w:rFonts w:asciiTheme="majorHAnsi" w:hAnsiTheme="majorHAnsi"/>
        </w:rPr>
        <w:t xml:space="preserve">През отчетния период Комисията е направила </w:t>
      </w:r>
      <w:r w:rsidR="00A43F5E">
        <w:rPr>
          <w:rFonts w:asciiTheme="majorHAnsi" w:hAnsiTheme="majorHAnsi"/>
        </w:rPr>
        <w:t>3</w:t>
      </w:r>
      <w:r w:rsidRPr="006D1279">
        <w:rPr>
          <w:rFonts w:asciiTheme="majorHAnsi" w:hAnsiTheme="majorHAnsi"/>
        </w:rPr>
        <w:t xml:space="preserve"> предложения за помилване, </w:t>
      </w:r>
      <w:r w:rsidR="00A43F5E">
        <w:rPr>
          <w:rFonts w:asciiTheme="majorHAnsi" w:hAnsiTheme="majorHAnsi"/>
        </w:rPr>
        <w:t xml:space="preserve">от </w:t>
      </w:r>
      <w:r w:rsidRPr="006D1279">
        <w:rPr>
          <w:rFonts w:asciiTheme="majorHAnsi" w:hAnsiTheme="majorHAnsi"/>
        </w:rPr>
        <w:t xml:space="preserve">които </w:t>
      </w:r>
      <w:r w:rsidR="00A43F5E">
        <w:rPr>
          <w:rFonts w:asciiTheme="majorHAnsi" w:hAnsiTheme="majorHAnsi"/>
        </w:rPr>
        <w:t xml:space="preserve">2 </w:t>
      </w:r>
      <w:r w:rsidR="00C16B5C" w:rsidRPr="006D1279">
        <w:rPr>
          <w:rFonts w:asciiTheme="majorHAnsi" w:hAnsiTheme="majorHAnsi"/>
        </w:rPr>
        <w:t>са</w:t>
      </w:r>
      <w:r w:rsidRPr="006D1279">
        <w:rPr>
          <w:rFonts w:asciiTheme="majorHAnsi" w:hAnsiTheme="majorHAnsi"/>
        </w:rPr>
        <w:t xml:space="preserve"> бил</w:t>
      </w:r>
      <w:r w:rsidR="00C16B5C" w:rsidRPr="006D1279">
        <w:rPr>
          <w:rFonts w:asciiTheme="majorHAnsi" w:hAnsiTheme="majorHAnsi"/>
        </w:rPr>
        <w:t>и уважени</w:t>
      </w:r>
      <w:r w:rsidRPr="006D1279">
        <w:rPr>
          <w:rFonts w:asciiTheme="majorHAnsi" w:hAnsiTheme="majorHAnsi"/>
        </w:rPr>
        <w:t>.</w:t>
      </w:r>
      <w:r w:rsidRPr="002E43B0">
        <w:rPr>
          <w:rFonts w:asciiTheme="majorHAnsi" w:hAnsiTheme="majorHAnsi"/>
        </w:rPr>
        <w:t xml:space="preserve"> </w:t>
      </w:r>
    </w:p>
    <w:tbl>
      <w:tblPr>
        <w:tblpPr w:leftFromText="141" w:rightFromText="141" w:bottomFromText="200" w:vertAnchor="text" w:horzAnchor="margin" w:tblpY="42"/>
        <w:tblW w:w="10915"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3078"/>
        <w:gridCol w:w="2069"/>
        <w:gridCol w:w="1417"/>
        <w:gridCol w:w="1134"/>
        <w:gridCol w:w="3217"/>
      </w:tblGrid>
      <w:tr w:rsidR="00DF08CC" w:rsidRPr="001F67EB" w:rsidTr="005721EC">
        <w:trPr>
          <w:cantSplit/>
          <w:tblHeader/>
        </w:trPr>
        <w:tc>
          <w:tcPr>
            <w:tcW w:w="3078" w:type="dxa"/>
            <w:vMerge w:val="restart"/>
            <w:tcBorders>
              <w:top w:val="single" w:sz="8" w:space="0" w:color="FFFFFF"/>
              <w:left w:val="single" w:sz="8" w:space="0" w:color="FFFFFF"/>
              <w:bottom w:val="nil"/>
              <w:right w:val="single" w:sz="8" w:space="0" w:color="FFFFFF"/>
            </w:tcBorders>
            <w:shd w:val="clear" w:color="auto" w:fill="9BBB59"/>
            <w:hideMark/>
          </w:tcPr>
          <w:p w:rsidR="00DF08CC" w:rsidRPr="001F67EB" w:rsidRDefault="00DF08CC" w:rsidP="003943C6">
            <w:pPr>
              <w:jc w:val="center"/>
              <w:rPr>
                <w:b/>
                <w:bCs/>
                <w:color w:val="FFFFFF"/>
                <w:sz w:val="21"/>
                <w:szCs w:val="21"/>
              </w:rPr>
            </w:pPr>
            <w:r w:rsidRPr="001F67EB">
              <w:rPr>
                <w:b/>
                <w:bCs/>
                <w:color w:val="FFFFFF"/>
                <w:sz w:val="21"/>
                <w:szCs w:val="21"/>
              </w:rPr>
              <w:t xml:space="preserve">Заседание, </w:t>
            </w:r>
          </w:p>
          <w:p w:rsidR="00DF08CC" w:rsidRPr="001F67EB" w:rsidRDefault="00DF08CC" w:rsidP="003943C6">
            <w:pPr>
              <w:jc w:val="center"/>
              <w:rPr>
                <w:b/>
                <w:bCs/>
                <w:color w:val="FFFFFF"/>
                <w:sz w:val="21"/>
                <w:szCs w:val="21"/>
              </w:rPr>
            </w:pPr>
            <w:r w:rsidRPr="001F67EB">
              <w:rPr>
                <w:b/>
                <w:bCs/>
                <w:color w:val="FFFFFF"/>
                <w:sz w:val="21"/>
                <w:szCs w:val="21"/>
              </w:rPr>
              <w:t xml:space="preserve">дата </w:t>
            </w:r>
          </w:p>
        </w:tc>
        <w:tc>
          <w:tcPr>
            <w:tcW w:w="7837"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DF08CC" w:rsidRPr="001F67EB" w:rsidRDefault="00DF08CC" w:rsidP="003943C6">
            <w:pPr>
              <w:jc w:val="center"/>
              <w:rPr>
                <w:b/>
                <w:bCs/>
                <w:color w:val="FFFFFF"/>
                <w:sz w:val="21"/>
                <w:szCs w:val="21"/>
              </w:rPr>
            </w:pPr>
            <w:r w:rsidRPr="001F67EB">
              <w:rPr>
                <w:b/>
                <w:bCs/>
                <w:color w:val="FFFFFF"/>
                <w:sz w:val="21"/>
                <w:szCs w:val="21"/>
              </w:rPr>
              <w:t>Брой молби</w:t>
            </w:r>
          </w:p>
        </w:tc>
      </w:tr>
      <w:tr w:rsidR="00DF08CC" w:rsidRPr="001F67EB" w:rsidTr="005721EC">
        <w:trPr>
          <w:cantSplit/>
          <w:tblHeader/>
        </w:trPr>
        <w:tc>
          <w:tcPr>
            <w:tcW w:w="3078" w:type="dxa"/>
            <w:vMerge/>
            <w:tcBorders>
              <w:top w:val="single" w:sz="8" w:space="0" w:color="FFFFFF"/>
              <w:left w:val="single" w:sz="8" w:space="0" w:color="FFFFFF"/>
              <w:bottom w:val="nil"/>
              <w:right w:val="single" w:sz="8" w:space="0" w:color="FFFFFF"/>
            </w:tcBorders>
            <w:vAlign w:val="center"/>
            <w:hideMark/>
          </w:tcPr>
          <w:p w:rsidR="00DF08CC" w:rsidRPr="001F67EB" w:rsidRDefault="00DF08CC" w:rsidP="003943C6">
            <w:pPr>
              <w:rPr>
                <w:b/>
                <w:bCs/>
                <w:color w:val="FFFFFF"/>
                <w:sz w:val="21"/>
                <w:szCs w:val="21"/>
              </w:rPr>
            </w:pPr>
          </w:p>
        </w:tc>
        <w:tc>
          <w:tcPr>
            <w:tcW w:w="2069" w:type="dxa"/>
            <w:tcBorders>
              <w:top w:val="single" w:sz="8" w:space="0" w:color="FFFFFF"/>
              <w:left w:val="single" w:sz="8" w:space="0" w:color="FFFFFF"/>
              <w:bottom w:val="nil"/>
              <w:right w:val="single" w:sz="8" w:space="0" w:color="FFFFFF"/>
            </w:tcBorders>
            <w:shd w:val="clear" w:color="auto" w:fill="CDDDAC"/>
            <w:hideMark/>
          </w:tcPr>
          <w:p w:rsidR="00DF08CC" w:rsidRPr="001F67EB" w:rsidRDefault="00DF08CC" w:rsidP="003943C6">
            <w:pPr>
              <w:jc w:val="center"/>
              <w:rPr>
                <w:b/>
                <w:sz w:val="21"/>
                <w:szCs w:val="21"/>
              </w:rPr>
            </w:pPr>
            <w:r w:rsidRPr="001F67EB">
              <w:rPr>
                <w:b/>
                <w:sz w:val="21"/>
                <w:szCs w:val="21"/>
              </w:rPr>
              <w:t xml:space="preserve">Разпределени </w:t>
            </w:r>
          </w:p>
          <w:p w:rsidR="00DF08CC" w:rsidRPr="001F67EB" w:rsidRDefault="00DF08CC" w:rsidP="003943C6">
            <w:pPr>
              <w:ind w:left="-108" w:right="-108"/>
              <w:jc w:val="center"/>
              <w:rPr>
                <w:b/>
                <w:sz w:val="21"/>
                <w:szCs w:val="21"/>
              </w:rPr>
            </w:pPr>
            <w:r w:rsidRPr="001F67EB">
              <w:rPr>
                <w:b/>
                <w:sz w:val="21"/>
                <w:szCs w:val="21"/>
              </w:rPr>
              <w:t xml:space="preserve">(за докладване в заседание) </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DF08CC" w:rsidRPr="001F67EB" w:rsidRDefault="00DF08CC" w:rsidP="003943C6">
            <w:pPr>
              <w:jc w:val="center"/>
              <w:rPr>
                <w:b/>
                <w:sz w:val="21"/>
                <w:szCs w:val="21"/>
              </w:rPr>
            </w:pPr>
            <w:r w:rsidRPr="001F67EB">
              <w:rPr>
                <w:b/>
                <w:sz w:val="21"/>
                <w:szCs w:val="21"/>
              </w:rPr>
              <w:t xml:space="preserve">докладвани </w:t>
            </w: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DF08CC" w:rsidRPr="001F67EB" w:rsidRDefault="00DF08CC" w:rsidP="003943C6">
            <w:pPr>
              <w:jc w:val="center"/>
              <w:rPr>
                <w:b/>
                <w:bCs/>
                <w:color w:val="FFFFFF" w:themeColor="background1"/>
                <w:sz w:val="21"/>
                <w:szCs w:val="21"/>
              </w:rPr>
            </w:pPr>
            <w:r w:rsidRPr="001F67EB">
              <w:rPr>
                <w:b/>
                <w:bCs/>
                <w:color w:val="FFFFFF" w:themeColor="background1"/>
                <w:sz w:val="21"/>
                <w:szCs w:val="21"/>
              </w:rPr>
              <w:t xml:space="preserve">решени </w:t>
            </w:r>
          </w:p>
        </w:tc>
        <w:tc>
          <w:tcPr>
            <w:tcW w:w="3217" w:type="dxa"/>
            <w:tcBorders>
              <w:top w:val="single" w:sz="8" w:space="0" w:color="FFFFFF"/>
              <w:left w:val="single" w:sz="24" w:space="0" w:color="FFFFFF"/>
              <w:bottom w:val="nil"/>
              <w:right w:val="nil"/>
            </w:tcBorders>
            <w:shd w:val="clear" w:color="auto" w:fill="9BBB59"/>
            <w:hideMark/>
          </w:tcPr>
          <w:p w:rsidR="00DF08CC" w:rsidRPr="001F67EB" w:rsidRDefault="00DF08CC" w:rsidP="003943C6">
            <w:pPr>
              <w:jc w:val="center"/>
              <w:rPr>
                <w:b/>
                <w:bCs/>
                <w:sz w:val="21"/>
                <w:szCs w:val="21"/>
              </w:rPr>
            </w:pPr>
            <w:r w:rsidRPr="001F67EB">
              <w:rPr>
                <w:b/>
                <w:bCs/>
                <w:sz w:val="21"/>
                <w:szCs w:val="21"/>
              </w:rPr>
              <w:t>Молби с удължен срок за разглеждане</w:t>
            </w:r>
          </w:p>
        </w:tc>
      </w:tr>
      <w:tr w:rsidR="00DF08CC" w:rsidRPr="001F67EB" w:rsidTr="003943C6">
        <w:tc>
          <w:tcPr>
            <w:tcW w:w="3078" w:type="dxa"/>
            <w:tcBorders>
              <w:top w:val="single" w:sz="8" w:space="0" w:color="FFFFFF"/>
              <w:left w:val="single" w:sz="8" w:space="0" w:color="FFFFFF"/>
              <w:right w:val="single" w:sz="24" w:space="0" w:color="FFFFFF"/>
            </w:tcBorders>
            <w:shd w:val="clear" w:color="auto" w:fill="9BBB59"/>
          </w:tcPr>
          <w:p w:rsidR="00DF08CC" w:rsidRPr="005B3EB4" w:rsidRDefault="00DF08CC" w:rsidP="00DF08CC">
            <w:pPr>
              <w:jc w:val="both"/>
              <w:rPr>
                <w:b/>
                <w:bCs/>
                <w:color w:val="FFFFFF"/>
                <w:sz w:val="20"/>
                <w:szCs w:val="20"/>
              </w:rPr>
            </w:pPr>
            <w:r>
              <w:rPr>
                <w:b/>
                <w:bCs/>
                <w:color w:val="FFFFFF"/>
                <w:sz w:val="20"/>
                <w:szCs w:val="20"/>
                <w:lang w:val="en-US"/>
              </w:rPr>
              <w:t> </w:t>
            </w:r>
            <w:r>
              <w:rPr>
                <w:b/>
                <w:bCs/>
                <w:color w:val="FFFFFF"/>
                <w:sz w:val="20"/>
                <w:szCs w:val="20"/>
              </w:rPr>
              <w:t>14.01.201</w:t>
            </w:r>
            <w:r>
              <w:rPr>
                <w:b/>
                <w:bCs/>
                <w:color w:val="FFFFFF"/>
                <w:sz w:val="20"/>
                <w:szCs w:val="20"/>
                <w:lang w:val="en-US"/>
              </w:rPr>
              <w:t>6</w:t>
            </w:r>
            <w:r>
              <w:rPr>
                <w:b/>
                <w:bCs/>
                <w:color w:val="FFFFFF"/>
                <w:sz w:val="20"/>
                <w:szCs w:val="20"/>
              </w:rPr>
              <w:t xml:space="preserve"> г.</w:t>
            </w:r>
          </w:p>
        </w:tc>
        <w:tc>
          <w:tcPr>
            <w:tcW w:w="2069" w:type="dxa"/>
            <w:tcBorders>
              <w:top w:val="single" w:sz="6" w:space="0" w:color="FFFFFF"/>
              <w:left w:val="single" w:sz="8" w:space="0" w:color="FFFFFF"/>
              <w:bottom w:val="nil"/>
              <w:right w:val="single" w:sz="8" w:space="0" w:color="FFFFFF"/>
            </w:tcBorders>
            <w:shd w:val="clear" w:color="auto" w:fill="CDDDAC"/>
          </w:tcPr>
          <w:p w:rsidR="00DF08CC" w:rsidRDefault="00DF08CC" w:rsidP="00DF08CC">
            <w:pPr>
              <w:jc w:val="both"/>
              <w:rPr>
                <w:sz w:val="21"/>
                <w:szCs w:val="21"/>
              </w:rPr>
            </w:pPr>
            <w:r>
              <w:rPr>
                <w:sz w:val="21"/>
                <w:szCs w:val="21"/>
              </w:rPr>
              <w:t>9</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DF08CC" w:rsidRDefault="00DF08CC" w:rsidP="00DF08CC">
            <w:pPr>
              <w:jc w:val="both"/>
              <w:rPr>
                <w:sz w:val="21"/>
                <w:szCs w:val="21"/>
              </w:rPr>
            </w:pPr>
            <w:r>
              <w:rPr>
                <w:sz w:val="21"/>
                <w:szCs w:val="21"/>
              </w:rPr>
              <w:t>9</w:t>
            </w:r>
          </w:p>
        </w:tc>
        <w:tc>
          <w:tcPr>
            <w:tcW w:w="1134" w:type="dxa"/>
            <w:tcBorders>
              <w:top w:val="single" w:sz="8" w:space="0" w:color="FFFFFF"/>
              <w:left w:val="single" w:sz="24" w:space="0" w:color="FFFFFF"/>
              <w:bottom w:val="nil"/>
              <w:right w:val="nil"/>
            </w:tcBorders>
            <w:shd w:val="clear" w:color="auto" w:fill="76923C" w:themeFill="accent3" w:themeFillShade="BF"/>
          </w:tcPr>
          <w:p w:rsidR="00DF08CC" w:rsidRPr="00DF08CC" w:rsidRDefault="00DF08CC" w:rsidP="00DF08CC">
            <w:pPr>
              <w:jc w:val="both"/>
              <w:rPr>
                <w:b/>
                <w:bCs/>
                <w:color w:val="FFFFFF" w:themeColor="background1"/>
                <w:sz w:val="21"/>
                <w:szCs w:val="21"/>
              </w:rPr>
            </w:pPr>
            <w:r>
              <w:rPr>
                <w:b/>
                <w:bCs/>
                <w:color w:val="FFFFFF" w:themeColor="background1"/>
                <w:sz w:val="21"/>
                <w:szCs w:val="21"/>
              </w:rPr>
              <w:t>9</w:t>
            </w:r>
          </w:p>
        </w:tc>
        <w:tc>
          <w:tcPr>
            <w:tcW w:w="3217" w:type="dxa"/>
            <w:tcBorders>
              <w:top w:val="single" w:sz="8" w:space="0" w:color="FFFFFF"/>
              <w:left w:val="single" w:sz="24" w:space="0" w:color="FFFFFF"/>
              <w:bottom w:val="single" w:sz="6" w:space="0" w:color="FFFFFF"/>
              <w:right w:val="nil"/>
            </w:tcBorders>
            <w:shd w:val="clear" w:color="auto" w:fill="4F6228" w:themeFill="accent3" w:themeFillShade="80"/>
          </w:tcPr>
          <w:p w:rsidR="00DF08CC" w:rsidRDefault="00DF08CC" w:rsidP="00DF08CC">
            <w:pPr>
              <w:jc w:val="both"/>
              <w:rPr>
                <w:b/>
                <w:bCs/>
                <w:color w:val="FFFFFF"/>
                <w:sz w:val="21"/>
                <w:szCs w:val="21"/>
              </w:rPr>
            </w:pPr>
          </w:p>
        </w:tc>
      </w:tr>
      <w:tr w:rsidR="00DF08CC" w:rsidRPr="001F67EB" w:rsidTr="003943C6">
        <w:tc>
          <w:tcPr>
            <w:tcW w:w="3078" w:type="dxa"/>
            <w:tcBorders>
              <w:top w:val="single" w:sz="8" w:space="0" w:color="FFFFFF"/>
              <w:left w:val="single" w:sz="8" w:space="0" w:color="FFFFFF"/>
              <w:right w:val="single" w:sz="24" w:space="0" w:color="FFFFFF"/>
            </w:tcBorders>
            <w:shd w:val="clear" w:color="auto" w:fill="76923C" w:themeFill="accent3" w:themeFillShade="BF"/>
          </w:tcPr>
          <w:p w:rsidR="00DF08CC" w:rsidRPr="00DF08CC" w:rsidRDefault="00DF08CC" w:rsidP="00DF08CC">
            <w:pPr>
              <w:jc w:val="both"/>
              <w:rPr>
                <w:b/>
                <w:bCs/>
                <w:color w:val="FFFFFF"/>
                <w:sz w:val="20"/>
                <w:szCs w:val="20"/>
                <w:lang w:val="en-US"/>
              </w:rPr>
            </w:pPr>
            <w:r>
              <w:rPr>
                <w:b/>
                <w:bCs/>
                <w:color w:val="FFFFFF"/>
                <w:sz w:val="20"/>
                <w:szCs w:val="20"/>
                <w:lang w:val="en-US"/>
              </w:rPr>
              <w:t xml:space="preserve"> 04.02.2016 </w:t>
            </w:r>
            <w:r>
              <w:rPr>
                <w:b/>
                <w:bCs/>
                <w:color w:val="FFFFFF"/>
                <w:sz w:val="20"/>
                <w:szCs w:val="20"/>
              </w:rPr>
              <w:t>г</w:t>
            </w:r>
            <w:r>
              <w:rPr>
                <w:b/>
                <w:bCs/>
                <w:color w:val="FFFFFF"/>
                <w:sz w:val="20"/>
                <w:szCs w:val="20"/>
                <w:lang w:val="en-US"/>
              </w:rPr>
              <w:t>.</w:t>
            </w:r>
          </w:p>
        </w:tc>
        <w:tc>
          <w:tcPr>
            <w:tcW w:w="2069" w:type="dxa"/>
            <w:tcBorders>
              <w:top w:val="single" w:sz="6" w:space="0" w:color="FFFFFF"/>
              <w:left w:val="single" w:sz="8" w:space="0" w:color="FFFFFF"/>
              <w:bottom w:val="nil"/>
              <w:right w:val="single" w:sz="8" w:space="0" w:color="FFFFFF"/>
            </w:tcBorders>
            <w:shd w:val="clear" w:color="auto" w:fill="76923C" w:themeFill="accent3" w:themeFillShade="BF"/>
          </w:tcPr>
          <w:p w:rsidR="00DF08CC" w:rsidRPr="00DF08CC" w:rsidRDefault="00DF08CC" w:rsidP="00DF08CC">
            <w:pPr>
              <w:jc w:val="both"/>
              <w:rPr>
                <w:color w:val="FFFFFF" w:themeColor="background1"/>
                <w:sz w:val="21"/>
                <w:szCs w:val="21"/>
                <w:lang w:val="en-US"/>
              </w:rPr>
            </w:pPr>
            <w:r>
              <w:rPr>
                <w:color w:val="FFFFFF" w:themeColor="background1"/>
                <w:sz w:val="21"/>
                <w:szCs w:val="21"/>
              </w:rPr>
              <w:t>21</w:t>
            </w:r>
          </w:p>
        </w:tc>
        <w:tc>
          <w:tcPr>
            <w:tcW w:w="1417"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DF08CC" w:rsidRPr="00737246" w:rsidRDefault="00DF08CC" w:rsidP="00DF08CC">
            <w:pPr>
              <w:jc w:val="both"/>
              <w:rPr>
                <w:color w:val="FFFFFF" w:themeColor="background1"/>
                <w:sz w:val="21"/>
                <w:szCs w:val="21"/>
              </w:rPr>
            </w:pPr>
            <w:r>
              <w:rPr>
                <w:color w:val="FFFFFF" w:themeColor="background1"/>
                <w:sz w:val="21"/>
                <w:szCs w:val="21"/>
              </w:rPr>
              <w:t>21</w:t>
            </w:r>
          </w:p>
        </w:tc>
        <w:tc>
          <w:tcPr>
            <w:tcW w:w="1134" w:type="dxa"/>
            <w:tcBorders>
              <w:top w:val="single" w:sz="8" w:space="0" w:color="FFFFFF"/>
              <w:left w:val="single" w:sz="24" w:space="0" w:color="FFFFFF"/>
              <w:bottom w:val="nil"/>
              <w:right w:val="nil"/>
            </w:tcBorders>
            <w:shd w:val="clear" w:color="auto" w:fill="C2D69B" w:themeFill="accent3" w:themeFillTint="99"/>
          </w:tcPr>
          <w:p w:rsidR="00DF08CC" w:rsidRPr="00737246" w:rsidRDefault="00DF08CC" w:rsidP="00DF08CC">
            <w:pPr>
              <w:jc w:val="both"/>
              <w:rPr>
                <w:b/>
                <w:bCs/>
                <w:sz w:val="21"/>
                <w:szCs w:val="21"/>
              </w:rPr>
            </w:pPr>
            <w:r>
              <w:rPr>
                <w:b/>
                <w:bCs/>
                <w:sz w:val="21"/>
                <w:szCs w:val="21"/>
              </w:rPr>
              <w:t>21</w:t>
            </w:r>
          </w:p>
        </w:tc>
        <w:tc>
          <w:tcPr>
            <w:tcW w:w="3217" w:type="dxa"/>
            <w:tcBorders>
              <w:top w:val="single" w:sz="8" w:space="0" w:color="FFFFFF"/>
              <w:left w:val="single" w:sz="24" w:space="0" w:color="FFFFFF"/>
              <w:right w:val="nil"/>
            </w:tcBorders>
            <w:shd w:val="clear" w:color="auto" w:fill="4F6228" w:themeFill="accent3" w:themeFillShade="80"/>
          </w:tcPr>
          <w:p w:rsidR="00DF08CC" w:rsidRDefault="00DF08CC" w:rsidP="00DF08CC">
            <w:pPr>
              <w:jc w:val="both"/>
              <w:rPr>
                <w:b/>
                <w:bCs/>
                <w:color w:val="FFFFFF"/>
                <w:sz w:val="21"/>
                <w:szCs w:val="21"/>
              </w:rPr>
            </w:pPr>
          </w:p>
        </w:tc>
      </w:tr>
      <w:tr w:rsidR="00DF08CC" w:rsidRPr="001F67EB" w:rsidTr="003943C6">
        <w:tc>
          <w:tcPr>
            <w:tcW w:w="3078" w:type="dxa"/>
            <w:tcBorders>
              <w:top w:val="single" w:sz="8" w:space="0" w:color="FFFFFF"/>
              <w:left w:val="single" w:sz="8" w:space="0" w:color="FFFFFF"/>
              <w:right w:val="single" w:sz="24" w:space="0" w:color="FFFFFF"/>
            </w:tcBorders>
            <w:shd w:val="clear" w:color="auto" w:fill="76923C" w:themeFill="accent3" w:themeFillShade="BF"/>
          </w:tcPr>
          <w:p w:rsidR="00DF08CC" w:rsidRPr="00047325" w:rsidRDefault="00DF08CC" w:rsidP="00DF08CC">
            <w:pPr>
              <w:jc w:val="both"/>
              <w:rPr>
                <w:b/>
                <w:bCs/>
                <w:color w:val="FFFFFF"/>
                <w:sz w:val="20"/>
                <w:szCs w:val="20"/>
              </w:rPr>
            </w:pPr>
            <w:r>
              <w:rPr>
                <w:b/>
                <w:bCs/>
                <w:color w:val="FFFFFF"/>
                <w:sz w:val="20"/>
                <w:szCs w:val="20"/>
                <w:lang w:val="en-US"/>
              </w:rPr>
              <w:t xml:space="preserve"> </w:t>
            </w:r>
            <w:r>
              <w:rPr>
                <w:b/>
                <w:bCs/>
                <w:color w:val="FFFFFF"/>
                <w:sz w:val="20"/>
                <w:szCs w:val="20"/>
              </w:rPr>
              <w:t>18.02.2016 г.</w:t>
            </w:r>
          </w:p>
        </w:tc>
        <w:tc>
          <w:tcPr>
            <w:tcW w:w="2069" w:type="dxa"/>
            <w:tcBorders>
              <w:top w:val="single" w:sz="6" w:space="0" w:color="FFFFFF"/>
              <w:left w:val="single" w:sz="8" w:space="0" w:color="FFFFFF"/>
              <w:bottom w:val="nil"/>
              <w:right w:val="single" w:sz="8" w:space="0" w:color="FFFFFF"/>
            </w:tcBorders>
            <w:shd w:val="clear" w:color="auto" w:fill="76923C" w:themeFill="accent3" w:themeFillShade="BF"/>
          </w:tcPr>
          <w:p w:rsidR="00DF08CC" w:rsidRPr="00737246" w:rsidRDefault="00DF08CC" w:rsidP="00DF08CC">
            <w:pPr>
              <w:jc w:val="both"/>
              <w:rPr>
                <w:color w:val="FFFFFF" w:themeColor="background1"/>
                <w:sz w:val="21"/>
                <w:szCs w:val="21"/>
              </w:rPr>
            </w:pPr>
            <w:r>
              <w:rPr>
                <w:color w:val="FFFFFF" w:themeColor="background1"/>
                <w:sz w:val="21"/>
                <w:szCs w:val="21"/>
              </w:rPr>
              <w:t>30</w:t>
            </w:r>
          </w:p>
        </w:tc>
        <w:tc>
          <w:tcPr>
            <w:tcW w:w="1417"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DF08CC" w:rsidRPr="00737246" w:rsidRDefault="00DF08CC" w:rsidP="00DF08CC">
            <w:pPr>
              <w:jc w:val="both"/>
              <w:rPr>
                <w:color w:val="FFFFFF" w:themeColor="background1"/>
                <w:sz w:val="21"/>
                <w:szCs w:val="21"/>
              </w:rPr>
            </w:pPr>
            <w:r>
              <w:rPr>
                <w:color w:val="FFFFFF" w:themeColor="background1"/>
                <w:sz w:val="21"/>
                <w:szCs w:val="21"/>
              </w:rPr>
              <w:t>30</w:t>
            </w:r>
          </w:p>
        </w:tc>
        <w:tc>
          <w:tcPr>
            <w:tcW w:w="1134" w:type="dxa"/>
            <w:tcBorders>
              <w:top w:val="single" w:sz="8" w:space="0" w:color="FFFFFF"/>
              <w:left w:val="single" w:sz="24" w:space="0" w:color="FFFFFF"/>
              <w:bottom w:val="nil"/>
              <w:right w:val="nil"/>
            </w:tcBorders>
            <w:shd w:val="clear" w:color="auto" w:fill="C2D69B" w:themeFill="accent3" w:themeFillTint="99"/>
          </w:tcPr>
          <w:p w:rsidR="00DF08CC" w:rsidRPr="00737246" w:rsidRDefault="00DF08CC" w:rsidP="00DF08CC">
            <w:pPr>
              <w:jc w:val="both"/>
              <w:rPr>
                <w:b/>
                <w:bCs/>
                <w:sz w:val="21"/>
                <w:szCs w:val="21"/>
              </w:rPr>
            </w:pPr>
            <w:r>
              <w:rPr>
                <w:b/>
                <w:bCs/>
                <w:sz w:val="21"/>
                <w:szCs w:val="21"/>
              </w:rPr>
              <w:t>30</w:t>
            </w:r>
          </w:p>
        </w:tc>
        <w:tc>
          <w:tcPr>
            <w:tcW w:w="3217" w:type="dxa"/>
            <w:tcBorders>
              <w:top w:val="single" w:sz="8" w:space="0" w:color="FFFFFF"/>
              <w:left w:val="single" w:sz="24" w:space="0" w:color="FFFFFF"/>
              <w:right w:val="nil"/>
            </w:tcBorders>
            <w:shd w:val="clear" w:color="auto" w:fill="4F6228" w:themeFill="accent3" w:themeFillShade="80"/>
          </w:tcPr>
          <w:p w:rsidR="00DF08CC" w:rsidRDefault="00DF08CC" w:rsidP="00DF08CC">
            <w:pPr>
              <w:jc w:val="both"/>
              <w:rPr>
                <w:b/>
                <w:bCs/>
                <w:color w:val="FFFFFF"/>
                <w:sz w:val="21"/>
                <w:szCs w:val="21"/>
              </w:rPr>
            </w:pPr>
          </w:p>
        </w:tc>
      </w:tr>
      <w:tr w:rsidR="00DF08C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DF08CC" w:rsidRPr="00DF08CC" w:rsidRDefault="00DF08CC" w:rsidP="00DF08CC">
            <w:pPr>
              <w:jc w:val="both"/>
              <w:rPr>
                <w:b/>
                <w:bCs/>
                <w:color w:val="FFFFFF"/>
                <w:sz w:val="20"/>
                <w:szCs w:val="20"/>
              </w:rPr>
            </w:pPr>
            <w:r>
              <w:rPr>
                <w:b/>
                <w:bCs/>
                <w:color w:val="FFFFFF"/>
                <w:sz w:val="20"/>
                <w:szCs w:val="20"/>
                <w:lang w:val="en-US"/>
              </w:rPr>
              <w:t xml:space="preserve"> 02</w:t>
            </w:r>
            <w:r>
              <w:rPr>
                <w:b/>
                <w:bCs/>
                <w:color w:val="FFFFFF"/>
                <w:sz w:val="20"/>
                <w:szCs w:val="20"/>
              </w:rPr>
              <w:t>.03.2016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DF08CC" w:rsidRPr="008A6784" w:rsidRDefault="00DF08CC" w:rsidP="00DF08CC">
            <w:pPr>
              <w:jc w:val="both"/>
              <w:rPr>
                <w:sz w:val="21"/>
                <w:szCs w:val="21"/>
              </w:rPr>
            </w:pPr>
            <w:r>
              <w:rPr>
                <w:sz w:val="21"/>
                <w:szCs w:val="21"/>
              </w:rPr>
              <w:t>36</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DF08CC" w:rsidRPr="008A6784" w:rsidRDefault="00DF08CC" w:rsidP="00DF08CC">
            <w:pPr>
              <w:jc w:val="both"/>
              <w:rPr>
                <w:sz w:val="21"/>
                <w:szCs w:val="21"/>
              </w:rPr>
            </w:pPr>
            <w:r>
              <w:rPr>
                <w:sz w:val="21"/>
                <w:szCs w:val="21"/>
              </w:rPr>
              <w:t>36</w:t>
            </w:r>
          </w:p>
        </w:tc>
        <w:tc>
          <w:tcPr>
            <w:tcW w:w="1134" w:type="dxa"/>
            <w:tcBorders>
              <w:top w:val="single" w:sz="8" w:space="0" w:color="FFFFFF"/>
              <w:left w:val="single" w:sz="24" w:space="0" w:color="FFFFFF"/>
              <w:bottom w:val="nil"/>
              <w:right w:val="nil"/>
            </w:tcBorders>
            <w:shd w:val="clear" w:color="auto" w:fill="76923C" w:themeFill="accent3" w:themeFillShade="BF"/>
          </w:tcPr>
          <w:p w:rsidR="00DF08CC" w:rsidRPr="008A6784" w:rsidRDefault="00DF08CC" w:rsidP="00DF08CC">
            <w:pPr>
              <w:jc w:val="both"/>
              <w:rPr>
                <w:b/>
                <w:bCs/>
                <w:color w:val="FFFFFF" w:themeColor="background1"/>
                <w:sz w:val="21"/>
                <w:szCs w:val="21"/>
              </w:rPr>
            </w:pPr>
            <w:r>
              <w:rPr>
                <w:b/>
                <w:bCs/>
                <w:color w:val="FFFFFF" w:themeColor="background1"/>
                <w:sz w:val="21"/>
                <w:szCs w:val="21"/>
              </w:rPr>
              <w:t>35</w:t>
            </w:r>
          </w:p>
        </w:tc>
        <w:tc>
          <w:tcPr>
            <w:tcW w:w="3217" w:type="dxa"/>
            <w:tcBorders>
              <w:top w:val="single" w:sz="8" w:space="0" w:color="FFFFFF"/>
              <w:left w:val="single" w:sz="24" w:space="0" w:color="FFFFFF"/>
              <w:right w:val="nil"/>
            </w:tcBorders>
            <w:shd w:val="clear" w:color="auto" w:fill="4F6228" w:themeFill="accent3" w:themeFillShade="80"/>
          </w:tcPr>
          <w:p w:rsidR="00DF08CC" w:rsidRDefault="00DF08CC" w:rsidP="00DF08CC">
            <w:pPr>
              <w:jc w:val="both"/>
              <w:rPr>
                <w:b/>
                <w:bCs/>
                <w:color w:val="FFFFFF"/>
                <w:sz w:val="21"/>
                <w:szCs w:val="21"/>
              </w:rPr>
            </w:pPr>
            <w:r>
              <w:rPr>
                <w:b/>
                <w:bCs/>
                <w:color w:val="FFFFFF"/>
                <w:sz w:val="21"/>
                <w:szCs w:val="21"/>
              </w:rPr>
              <w:t xml:space="preserve">1 спряна за допълнително разработване на мотиви </w:t>
            </w:r>
          </w:p>
        </w:tc>
      </w:tr>
      <w:tr w:rsidR="00DF08C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DF08CC" w:rsidRPr="008A6784" w:rsidRDefault="00DF08CC" w:rsidP="00DF08CC">
            <w:pPr>
              <w:jc w:val="both"/>
              <w:rPr>
                <w:b/>
                <w:bCs/>
                <w:color w:val="FFFFFF"/>
                <w:sz w:val="20"/>
                <w:szCs w:val="20"/>
              </w:rPr>
            </w:pPr>
            <w:r>
              <w:rPr>
                <w:b/>
                <w:bCs/>
                <w:color w:val="FFFFFF"/>
                <w:sz w:val="20"/>
                <w:szCs w:val="20"/>
                <w:lang w:val="en-US"/>
              </w:rPr>
              <w:t xml:space="preserve"> </w:t>
            </w:r>
            <w:r>
              <w:rPr>
                <w:b/>
                <w:bCs/>
                <w:color w:val="FFFFFF"/>
                <w:sz w:val="20"/>
                <w:szCs w:val="20"/>
              </w:rPr>
              <w:t>10.03.2016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DF08CC" w:rsidRPr="008A6784" w:rsidRDefault="00DF08CC" w:rsidP="00DF08CC">
            <w:pPr>
              <w:jc w:val="both"/>
              <w:rPr>
                <w:sz w:val="21"/>
                <w:szCs w:val="21"/>
              </w:rPr>
            </w:pPr>
            <w:r>
              <w:rPr>
                <w:sz w:val="21"/>
                <w:szCs w:val="21"/>
              </w:rPr>
              <w:t>14</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DF08CC" w:rsidRPr="008A6784" w:rsidRDefault="00DF08CC" w:rsidP="00DF08CC">
            <w:pPr>
              <w:jc w:val="both"/>
              <w:rPr>
                <w:sz w:val="21"/>
                <w:szCs w:val="21"/>
              </w:rPr>
            </w:pPr>
            <w:r>
              <w:rPr>
                <w:sz w:val="21"/>
                <w:szCs w:val="21"/>
              </w:rPr>
              <w:t>14</w:t>
            </w:r>
          </w:p>
        </w:tc>
        <w:tc>
          <w:tcPr>
            <w:tcW w:w="1134" w:type="dxa"/>
            <w:tcBorders>
              <w:top w:val="single" w:sz="8" w:space="0" w:color="FFFFFF"/>
              <w:left w:val="single" w:sz="24" w:space="0" w:color="FFFFFF"/>
              <w:bottom w:val="nil"/>
              <w:right w:val="nil"/>
            </w:tcBorders>
            <w:shd w:val="clear" w:color="auto" w:fill="76923C" w:themeFill="accent3" w:themeFillShade="BF"/>
          </w:tcPr>
          <w:p w:rsidR="00DF08CC" w:rsidRPr="008A6784" w:rsidRDefault="00DF08CC" w:rsidP="00DF08CC">
            <w:pPr>
              <w:jc w:val="both"/>
              <w:rPr>
                <w:b/>
                <w:bCs/>
                <w:color w:val="FFFFFF" w:themeColor="background1"/>
                <w:sz w:val="21"/>
                <w:szCs w:val="21"/>
              </w:rPr>
            </w:pPr>
            <w:r>
              <w:rPr>
                <w:b/>
                <w:bCs/>
                <w:color w:val="FFFFFF" w:themeColor="background1"/>
                <w:sz w:val="21"/>
                <w:szCs w:val="21"/>
              </w:rPr>
              <w:t>14</w:t>
            </w:r>
          </w:p>
        </w:tc>
        <w:tc>
          <w:tcPr>
            <w:tcW w:w="3217" w:type="dxa"/>
            <w:tcBorders>
              <w:top w:val="single" w:sz="8" w:space="0" w:color="FFFFFF"/>
              <w:left w:val="single" w:sz="24" w:space="0" w:color="FFFFFF"/>
              <w:right w:val="nil"/>
            </w:tcBorders>
            <w:shd w:val="clear" w:color="auto" w:fill="4F6228" w:themeFill="accent3" w:themeFillShade="80"/>
          </w:tcPr>
          <w:p w:rsidR="00DF08CC" w:rsidRDefault="00DF08CC" w:rsidP="00DF08CC">
            <w:pPr>
              <w:jc w:val="both"/>
              <w:rPr>
                <w:b/>
                <w:bCs/>
                <w:color w:val="FFFFFF"/>
                <w:sz w:val="21"/>
                <w:szCs w:val="21"/>
              </w:rPr>
            </w:pPr>
          </w:p>
        </w:tc>
      </w:tr>
      <w:tr w:rsidR="00DF08C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DF08CC" w:rsidRDefault="00DF08CC" w:rsidP="00DF08CC">
            <w:pPr>
              <w:jc w:val="both"/>
              <w:rPr>
                <w:b/>
                <w:bCs/>
                <w:color w:val="FFFFFF"/>
                <w:sz w:val="20"/>
                <w:szCs w:val="20"/>
              </w:rPr>
            </w:pPr>
            <w:r>
              <w:rPr>
                <w:b/>
                <w:bCs/>
                <w:color w:val="FFFFFF"/>
                <w:sz w:val="20"/>
                <w:szCs w:val="20"/>
                <w:lang w:val="en-US"/>
              </w:rPr>
              <w:t xml:space="preserve"> </w:t>
            </w:r>
            <w:r>
              <w:rPr>
                <w:b/>
                <w:bCs/>
                <w:color w:val="FFFFFF"/>
                <w:sz w:val="20"/>
                <w:szCs w:val="20"/>
              </w:rPr>
              <w:t>24.03.2016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DF08CC" w:rsidRDefault="00DF08CC" w:rsidP="00DF08CC">
            <w:pPr>
              <w:jc w:val="both"/>
              <w:rPr>
                <w:sz w:val="21"/>
                <w:szCs w:val="21"/>
              </w:rPr>
            </w:pPr>
            <w:r>
              <w:rPr>
                <w:sz w:val="21"/>
                <w:szCs w:val="21"/>
              </w:rPr>
              <w:t>11</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DF08CC" w:rsidRDefault="00DF08CC" w:rsidP="00DF08CC">
            <w:pPr>
              <w:jc w:val="both"/>
              <w:rPr>
                <w:sz w:val="21"/>
                <w:szCs w:val="21"/>
              </w:rPr>
            </w:pPr>
            <w:r>
              <w:rPr>
                <w:sz w:val="21"/>
                <w:szCs w:val="21"/>
              </w:rPr>
              <w:t>11+1</w:t>
            </w:r>
          </w:p>
        </w:tc>
        <w:tc>
          <w:tcPr>
            <w:tcW w:w="1134" w:type="dxa"/>
            <w:tcBorders>
              <w:top w:val="single" w:sz="8" w:space="0" w:color="FFFFFF"/>
              <w:left w:val="single" w:sz="24" w:space="0" w:color="FFFFFF"/>
              <w:bottom w:val="nil"/>
              <w:right w:val="nil"/>
            </w:tcBorders>
            <w:shd w:val="clear" w:color="auto" w:fill="76923C" w:themeFill="accent3" w:themeFillShade="BF"/>
          </w:tcPr>
          <w:p w:rsidR="00DF08CC" w:rsidRDefault="00DF08CC" w:rsidP="00DF08CC">
            <w:pPr>
              <w:jc w:val="both"/>
              <w:rPr>
                <w:b/>
                <w:bCs/>
                <w:color w:val="FFFFFF" w:themeColor="background1"/>
                <w:sz w:val="21"/>
                <w:szCs w:val="21"/>
              </w:rPr>
            </w:pPr>
            <w:r>
              <w:rPr>
                <w:b/>
                <w:bCs/>
                <w:color w:val="FFFFFF" w:themeColor="background1"/>
                <w:sz w:val="21"/>
                <w:szCs w:val="21"/>
              </w:rPr>
              <w:t>12</w:t>
            </w:r>
          </w:p>
        </w:tc>
        <w:tc>
          <w:tcPr>
            <w:tcW w:w="3217" w:type="dxa"/>
            <w:tcBorders>
              <w:top w:val="single" w:sz="8" w:space="0" w:color="FFFFFF"/>
              <w:left w:val="single" w:sz="24" w:space="0" w:color="FFFFFF"/>
              <w:right w:val="nil"/>
            </w:tcBorders>
            <w:shd w:val="clear" w:color="auto" w:fill="4F6228" w:themeFill="accent3" w:themeFillShade="80"/>
          </w:tcPr>
          <w:p w:rsidR="00DF08CC" w:rsidRDefault="00DF08CC" w:rsidP="00DF08CC">
            <w:pPr>
              <w:jc w:val="both"/>
              <w:rPr>
                <w:b/>
                <w:bCs/>
                <w:color w:val="FFFFFF"/>
                <w:sz w:val="21"/>
                <w:szCs w:val="21"/>
              </w:rPr>
            </w:pPr>
            <w:r>
              <w:rPr>
                <w:b/>
                <w:bCs/>
                <w:color w:val="FFFFFF"/>
                <w:sz w:val="21"/>
                <w:szCs w:val="21"/>
              </w:rPr>
              <w:t>2 решени с предложение за помилване</w:t>
            </w:r>
          </w:p>
        </w:tc>
      </w:tr>
      <w:tr w:rsidR="00B43B4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B43B4C" w:rsidRPr="00B43B4C" w:rsidRDefault="00B43B4C" w:rsidP="00DF08CC">
            <w:pPr>
              <w:jc w:val="both"/>
              <w:rPr>
                <w:b/>
                <w:bCs/>
                <w:color w:val="FFFFFF"/>
                <w:sz w:val="20"/>
                <w:szCs w:val="20"/>
              </w:rPr>
            </w:pPr>
            <w:r>
              <w:rPr>
                <w:b/>
                <w:bCs/>
                <w:color w:val="FFFFFF"/>
                <w:sz w:val="20"/>
                <w:szCs w:val="20"/>
              </w:rPr>
              <w:t>07.04.2016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B43B4C" w:rsidRDefault="00B43B4C" w:rsidP="00DF08CC">
            <w:pPr>
              <w:jc w:val="both"/>
              <w:rPr>
                <w:sz w:val="21"/>
                <w:szCs w:val="21"/>
              </w:rPr>
            </w:pP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B43B4C" w:rsidRDefault="00B43B4C" w:rsidP="00DF08CC">
            <w:pPr>
              <w:jc w:val="both"/>
              <w:rPr>
                <w:sz w:val="21"/>
                <w:szCs w:val="21"/>
              </w:rPr>
            </w:pPr>
          </w:p>
        </w:tc>
        <w:tc>
          <w:tcPr>
            <w:tcW w:w="1134" w:type="dxa"/>
            <w:tcBorders>
              <w:top w:val="single" w:sz="8" w:space="0" w:color="FFFFFF"/>
              <w:left w:val="single" w:sz="24" w:space="0" w:color="FFFFFF"/>
              <w:bottom w:val="nil"/>
              <w:right w:val="nil"/>
            </w:tcBorders>
            <w:shd w:val="clear" w:color="auto" w:fill="76923C" w:themeFill="accent3" w:themeFillShade="BF"/>
          </w:tcPr>
          <w:p w:rsidR="00B43B4C" w:rsidRDefault="00B43B4C" w:rsidP="00DF08CC">
            <w:pPr>
              <w:jc w:val="both"/>
              <w:rPr>
                <w:b/>
                <w:bCs/>
                <w:color w:val="FFFFFF" w:themeColor="background1"/>
                <w:sz w:val="21"/>
                <w:szCs w:val="21"/>
              </w:rPr>
            </w:pPr>
            <w:r>
              <w:rPr>
                <w:b/>
                <w:bCs/>
                <w:color w:val="FFFFFF" w:themeColor="background1"/>
                <w:sz w:val="21"/>
                <w:szCs w:val="21"/>
              </w:rPr>
              <w:t>25</w:t>
            </w:r>
          </w:p>
        </w:tc>
        <w:tc>
          <w:tcPr>
            <w:tcW w:w="3217" w:type="dxa"/>
            <w:tcBorders>
              <w:top w:val="single" w:sz="8" w:space="0" w:color="FFFFFF"/>
              <w:left w:val="single" w:sz="24" w:space="0" w:color="FFFFFF"/>
              <w:right w:val="nil"/>
            </w:tcBorders>
            <w:shd w:val="clear" w:color="auto" w:fill="4F6228" w:themeFill="accent3" w:themeFillShade="80"/>
          </w:tcPr>
          <w:p w:rsidR="00B43B4C" w:rsidRDefault="00B43B4C" w:rsidP="00DF08CC">
            <w:pPr>
              <w:jc w:val="both"/>
              <w:rPr>
                <w:b/>
                <w:bCs/>
                <w:color w:val="FFFFFF"/>
                <w:sz w:val="21"/>
                <w:szCs w:val="21"/>
              </w:rPr>
            </w:pPr>
          </w:p>
        </w:tc>
      </w:tr>
      <w:tr w:rsidR="00B43B4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B43B4C" w:rsidRPr="00B43B4C" w:rsidRDefault="00B43B4C" w:rsidP="00DF08CC">
            <w:pPr>
              <w:jc w:val="both"/>
              <w:rPr>
                <w:b/>
                <w:bCs/>
                <w:color w:val="FFFFFF"/>
                <w:sz w:val="20"/>
                <w:szCs w:val="20"/>
              </w:rPr>
            </w:pPr>
            <w:r>
              <w:rPr>
                <w:b/>
                <w:bCs/>
                <w:color w:val="FFFFFF"/>
                <w:sz w:val="20"/>
                <w:szCs w:val="20"/>
              </w:rPr>
              <w:t>26.05.2016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B43B4C" w:rsidRDefault="00B43B4C" w:rsidP="006D1279">
            <w:pPr>
              <w:jc w:val="both"/>
              <w:rPr>
                <w:sz w:val="21"/>
                <w:szCs w:val="21"/>
              </w:rPr>
            </w:pPr>
            <w:r>
              <w:rPr>
                <w:sz w:val="21"/>
                <w:szCs w:val="21"/>
              </w:rPr>
              <w:t>2</w:t>
            </w:r>
            <w:r w:rsidR="006D1279">
              <w:rPr>
                <w:sz w:val="21"/>
                <w:szCs w:val="21"/>
              </w:rPr>
              <w:t>1</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B43B4C" w:rsidRDefault="00B43B4C" w:rsidP="006D1279">
            <w:pPr>
              <w:jc w:val="both"/>
              <w:rPr>
                <w:sz w:val="21"/>
                <w:szCs w:val="21"/>
              </w:rPr>
            </w:pPr>
            <w:r>
              <w:rPr>
                <w:sz w:val="21"/>
                <w:szCs w:val="21"/>
              </w:rPr>
              <w:t>2</w:t>
            </w:r>
            <w:r w:rsidR="006D1279">
              <w:rPr>
                <w:sz w:val="21"/>
                <w:szCs w:val="21"/>
              </w:rPr>
              <w:t>1</w:t>
            </w:r>
          </w:p>
        </w:tc>
        <w:tc>
          <w:tcPr>
            <w:tcW w:w="1134" w:type="dxa"/>
            <w:tcBorders>
              <w:top w:val="single" w:sz="8" w:space="0" w:color="FFFFFF"/>
              <w:left w:val="single" w:sz="24" w:space="0" w:color="FFFFFF"/>
              <w:bottom w:val="nil"/>
              <w:right w:val="nil"/>
            </w:tcBorders>
            <w:shd w:val="clear" w:color="auto" w:fill="76923C" w:themeFill="accent3" w:themeFillShade="BF"/>
          </w:tcPr>
          <w:p w:rsidR="00B43B4C" w:rsidRDefault="006D1279" w:rsidP="006D1279">
            <w:pPr>
              <w:jc w:val="both"/>
              <w:rPr>
                <w:b/>
                <w:bCs/>
                <w:color w:val="FFFFFF" w:themeColor="background1"/>
                <w:sz w:val="21"/>
                <w:szCs w:val="21"/>
              </w:rPr>
            </w:pPr>
            <w:r>
              <w:rPr>
                <w:b/>
                <w:bCs/>
                <w:color w:val="FFFFFF" w:themeColor="background1"/>
                <w:sz w:val="21"/>
                <w:szCs w:val="21"/>
              </w:rPr>
              <w:t>21</w:t>
            </w:r>
          </w:p>
        </w:tc>
        <w:tc>
          <w:tcPr>
            <w:tcW w:w="3217" w:type="dxa"/>
            <w:tcBorders>
              <w:top w:val="single" w:sz="8" w:space="0" w:color="FFFFFF"/>
              <w:left w:val="single" w:sz="24" w:space="0" w:color="FFFFFF"/>
              <w:right w:val="nil"/>
            </w:tcBorders>
            <w:shd w:val="clear" w:color="auto" w:fill="4F6228" w:themeFill="accent3" w:themeFillShade="80"/>
          </w:tcPr>
          <w:p w:rsidR="00B43B4C" w:rsidRDefault="00B43B4C" w:rsidP="00DF08CC">
            <w:pPr>
              <w:jc w:val="both"/>
              <w:rPr>
                <w:b/>
                <w:bCs/>
                <w:color w:val="FFFFFF"/>
                <w:sz w:val="21"/>
                <w:szCs w:val="21"/>
              </w:rPr>
            </w:pPr>
          </w:p>
        </w:tc>
      </w:tr>
      <w:tr w:rsidR="006D1279" w:rsidTr="003943C6">
        <w:tc>
          <w:tcPr>
            <w:tcW w:w="3078" w:type="dxa"/>
            <w:tcBorders>
              <w:top w:val="single" w:sz="8" w:space="0" w:color="FFFFFF"/>
              <w:left w:val="single" w:sz="8" w:space="0" w:color="FFFFFF"/>
              <w:right w:val="single" w:sz="24" w:space="0" w:color="FFFFFF"/>
            </w:tcBorders>
            <w:shd w:val="clear" w:color="auto" w:fill="9BBB59" w:themeFill="accent3"/>
          </w:tcPr>
          <w:p w:rsidR="006D1279" w:rsidRPr="00B43B4C" w:rsidRDefault="006D1279" w:rsidP="006D1279">
            <w:pPr>
              <w:jc w:val="both"/>
              <w:rPr>
                <w:b/>
                <w:bCs/>
                <w:color w:val="FFFFFF"/>
                <w:sz w:val="20"/>
                <w:szCs w:val="20"/>
              </w:rPr>
            </w:pPr>
            <w:r>
              <w:rPr>
                <w:b/>
                <w:bCs/>
                <w:color w:val="FFFFFF"/>
                <w:sz w:val="20"/>
                <w:szCs w:val="20"/>
              </w:rPr>
              <w:t>02.06.2016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6D1279" w:rsidRDefault="00BB6939" w:rsidP="006D1279">
            <w:pPr>
              <w:jc w:val="both"/>
              <w:rPr>
                <w:sz w:val="21"/>
                <w:szCs w:val="21"/>
              </w:rPr>
            </w:pPr>
            <w:r>
              <w:rPr>
                <w:sz w:val="21"/>
                <w:szCs w:val="21"/>
              </w:rPr>
              <w:t>20</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6D1279" w:rsidRDefault="00BB6939" w:rsidP="006D1279">
            <w:pPr>
              <w:jc w:val="both"/>
              <w:rPr>
                <w:sz w:val="21"/>
                <w:szCs w:val="21"/>
              </w:rPr>
            </w:pPr>
            <w:r>
              <w:rPr>
                <w:sz w:val="21"/>
                <w:szCs w:val="21"/>
              </w:rPr>
              <w:t>20</w:t>
            </w:r>
          </w:p>
        </w:tc>
        <w:tc>
          <w:tcPr>
            <w:tcW w:w="1134" w:type="dxa"/>
            <w:tcBorders>
              <w:top w:val="single" w:sz="8" w:space="0" w:color="FFFFFF"/>
              <w:left w:val="single" w:sz="24" w:space="0" w:color="FFFFFF"/>
              <w:bottom w:val="nil"/>
              <w:right w:val="nil"/>
            </w:tcBorders>
            <w:shd w:val="clear" w:color="auto" w:fill="76923C" w:themeFill="accent3" w:themeFillShade="BF"/>
          </w:tcPr>
          <w:p w:rsidR="006D1279" w:rsidRDefault="00BB6939" w:rsidP="006D1279">
            <w:pPr>
              <w:jc w:val="both"/>
              <w:rPr>
                <w:b/>
                <w:bCs/>
                <w:color w:val="FFFFFF" w:themeColor="background1"/>
                <w:sz w:val="21"/>
                <w:szCs w:val="21"/>
              </w:rPr>
            </w:pPr>
            <w:r>
              <w:rPr>
                <w:b/>
                <w:bCs/>
                <w:color w:val="FFFFFF" w:themeColor="background1"/>
                <w:sz w:val="21"/>
                <w:szCs w:val="21"/>
              </w:rPr>
              <w:t>20</w:t>
            </w:r>
          </w:p>
        </w:tc>
        <w:tc>
          <w:tcPr>
            <w:tcW w:w="3217" w:type="dxa"/>
            <w:tcBorders>
              <w:top w:val="single" w:sz="8" w:space="0" w:color="FFFFFF"/>
              <w:left w:val="single" w:sz="24" w:space="0" w:color="FFFFFF"/>
              <w:right w:val="nil"/>
            </w:tcBorders>
            <w:shd w:val="clear" w:color="auto" w:fill="4F6228" w:themeFill="accent3" w:themeFillShade="80"/>
          </w:tcPr>
          <w:p w:rsidR="006D1279" w:rsidRDefault="006D1279" w:rsidP="006D1279">
            <w:pPr>
              <w:jc w:val="both"/>
              <w:rPr>
                <w:b/>
                <w:bCs/>
                <w:color w:val="FFFFFF"/>
                <w:sz w:val="21"/>
                <w:szCs w:val="21"/>
              </w:rPr>
            </w:pPr>
          </w:p>
        </w:tc>
      </w:tr>
      <w:tr w:rsidR="00B43B4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B43B4C" w:rsidRPr="00B43B4C" w:rsidRDefault="00B43B4C" w:rsidP="00DF08CC">
            <w:pPr>
              <w:jc w:val="both"/>
              <w:rPr>
                <w:b/>
                <w:bCs/>
                <w:color w:val="FFFFFF"/>
                <w:sz w:val="20"/>
                <w:szCs w:val="20"/>
              </w:rPr>
            </w:pPr>
            <w:r>
              <w:rPr>
                <w:b/>
                <w:bCs/>
                <w:color w:val="FFFFFF"/>
                <w:sz w:val="20"/>
                <w:szCs w:val="20"/>
              </w:rPr>
              <w:t>16.06.2016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B43B4C" w:rsidRDefault="00B43B4C" w:rsidP="00DF08CC">
            <w:pPr>
              <w:jc w:val="both"/>
              <w:rPr>
                <w:sz w:val="21"/>
                <w:szCs w:val="21"/>
              </w:rPr>
            </w:pPr>
            <w:r>
              <w:rPr>
                <w:sz w:val="21"/>
                <w:szCs w:val="21"/>
              </w:rPr>
              <w:t>4</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B43B4C" w:rsidRDefault="00B43B4C" w:rsidP="00DF08CC">
            <w:pPr>
              <w:jc w:val="both"/>
              <w:rPr>
                <w:sz w:val="21"/>
                <w:szCs w:val="21"/>
              </w:rPr>
            </w:pPr>
            <w:r>
              <w:rPr>
                <w:sz w:val="21"/>
                <w:szCs w:val="21"/>
              </w:rPr>
              <w:t>4</w:t>
            </w:r>
          </w:p>
        </w:tc>
        <w:tc>
          <w:tcPr>
            <w:tcW w:w="1134" w:type="dxa"/>
            <w:tcBorders>
              <w:top w:val="single" w:sz="8" w:space="0" w:color="FFFFFF"/>
              <w:left w:val="single" w:sz="24" w:space="0" w:color="FFFFFF"/>
              <w:bottom w:val="nil"/>
              <w:right w:val="nil"/>
            </w:tcBorders>
            <w:shd w:val="clear" w:color="auto" w:fill="76923C" w:themeFill="accent3" w:themeFillShade="BF"/>
          </w:tcPr>
          <w:p w:rsidR="00B43B4C" w:rsidRDefault="00B43B4C" w:rsidP="00DF08CC">
            <w:pPr>
              <w:jc w:val="both"/>
              <w:rPr>
                <w:b/>
                <w:bCs/>
                <w:color w:val="FFFFFF" w:themeColor="background1"/>
                <w:sz w:val="21"/>
                <w:szCs w:val="21"/>
              </w:rPr>
            </w:pPr>
            <w:r>
              <w:rPr>
                <w:b/>
                <w:bCs/>
                <w:color w:val="FFFFFF" w:themeColor="background1"/>
                <w:sz w:val="21"/>
                <w:szCs w:val="21"/>
              </w:rPr>
              <w:t>4</w:t>
            </w:r>
          </w:p>
        </w:tc>
        <w:tc>
          <w:tcPr>
            <w:tcW w:w="3217" w:type="dxa"/>
            <w:tcBorders>
              <w:top w:val="single" w:sz="8" w:space="0" w:color="FFFFFF"/>
              <w:left w:val="single" w:sz="24" w:space="0" w:color="FFFFFF"/>
              <w:right w:val="nil"/>
            </w:tcBorders>
            <w:shd w:val="clear" w:color="auto" w:fill="4F6228" w:themeFill="accent3" w:themeFillShade="80"/>
          </w:tcPr>
          <w:p w:rsidR="00B43B4C" w:rsidRDefault="00B43B4C" w:rsidP="00DF08CC">
            <w:pPr>
              <w:jc w:val="both"/>
              <w:rPr>
                <w:b/>
                <w:bCs/>
                <w:color w:val="FFFFFF"/>
                <w:sz w:val="21"/>
                <w:szCs w:val="21"/>
              </w:rPr>
            </w:pPr>
          </w:p>
        </w:tc>
      </w:tr>
      <w:tr w:rsidR="00B43B4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B43B4C" w:rsidRPr="00B43B4C" w:rsidRDefault="00B43B4C" w:rsidP="00DF08CC">
            <w:pPr>
              <w:jc w:val="both"/>
              <w:rPr>
                <w:b/>
                <w:bCs/>
                <w:color w:val="FFFFFF"/>
                <w:sz w:val="20"/>
                <w:szCs w:val="20"/>
              </w:rPr>
            </w:pPr>
            <w:r>
              <w:rPr>
                <w:b/>
                <w:bCs/>
                <w:color w:val="FFFFFF"/>
                <w:sz w:val="20"/>
                <w:szCs w:val="20"/>
              </w:rPr>
              <w:t>23.06.2016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B43B4C" w:rsidRDefault="00B43B4C" w:rsidP="00DF08CC">
            <w:pPr>
              <w:jc w:val="both"/>
              <w:rPr>
                <w:sz w:val="21"/>
                <w:szCs w:val="21"/>
              </w:rPr>
            </w:pPr>
            <w:r>
              <w:rPr>
                <w:sz w:val="21"/>
                <w:szCs w:val="21"/>
              </w:rPr>
              <w:t>10</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B43B4C" w:rsidRDefault="00B43B4C" w:rsidP="00DF08CC">
            <w:pPr>
              <w:jc w:val="both"/>
              <w:rPr>
                <w:sz w:val="21"/>
                <w:szCs w:val="21"/>
              </w:rPr>
            </w:pPr>
            <w:r>
              <w:rPr>
                <w:sz w:val="21"/>
                <w:szCs w:val="21"/>
              </w:rPr>
              <w:t>10</w:t>
            </w:r>
          </w:p>
        </w:tc>
        <w:tc>
          <w:tcPr>
            <w:tcW w:w="1134" w:type="dxa"/>
            <w:tcBorders>
              <w:top w:val="single" w:sz="8" w:space="0" w:color="FFFFFF"/>
              <w:left w:val="single" w:sz="24" w:space="0" w:color="FFFFFF"/>
              <w:bottom w:val="nil"/>
              <w:right w:val="nil"/>
            </w:tcBorders>
            <w:shd w:val="clear" w:color="auto" w:fill="76923C" w:themeFill="accent3" w:themeFillShade="BF"/>
          </w:tcPr>
          <w:p w:rsidR="00B43B4C" w:rsidRDefault="00B43B4C" w:rsidP="00DF08CC">
            <w:pPr>
              <w:jc w:val="both"/>
              <w:rPr>
                <w:b/>
                <w:bCs/>
                <w:color w:val="FFFFFF" w:themeColor="background1"/>
                <w:sz w:val="21"/>
                <w:szCs w:val="21"/>
              </w:rPr>
            </w:pPr>
            <w:r>
              <w:rPr>
                <w:b/>
                <w:bCs/>
                <w:color w:val="FFFFFF" w:themeColor="background1"/>
                <w:sz w:val="21"/>
                <w:szCs w:val="21"/>
              </w:rPr>
              <w:t>10</w:t>
            </w:r>
          </w:p>
        </w:tc>
        <w:tc>
          <w:tcPr>
            <w:tcW w:w="3217" w:type="dxa"/>
            <w:tcBorders>
              <w:top w:val="single" w:sz="8" w:space="0" w:color="FFFFFF"/>
              <w:left w:val="single" w:sz="24" w:space="0" w:color="FFFFFF"/>
              <w:right w:val="nil"/>
            </w:tcBorders>
            <w:shd w:val="clear" w:color="auto" w:fill="4F6228" w:themeFill="accent3" w:themeFillShade="80"/>
          </w:tcPr>
          <w:p w:rsidR="00B43B4C" w:rsidRDefault="00B43B4C" w:rsidP="00DF08CC">
            <w:pPr>
              <w:jc w:val="both"/>
              <w:rPr>
                <w:b/>
                <w:bCs/>
                <w:color w:val="FFFFFF"/>
                <w:sz w:val="21"/>
                <w:szCs w:val="21"/>
              </w:rPr>
            </w:pPr>
          </w:p>
        </w:tc>
      </w:tr>
      <w:tr w:rsidR="00B43B4C" w:rsidRPr="001F67EB" w:rsidTr="003943C6">
        <w:tc>
          <w:tcPr>
            <w:tcW w:w="3078" w:type="dxa"/>
            <w:tcBorders>
              <w:top w:val="single" w:sz="8" w:space="0" w:color="FFFFFF"/>
              <w:left w:val="single" w:sz="8" w:space="0" w:color="FFFFFF"/>
              <w:right w:val="single" w:sz="24" w:space="0" w:color="FFFFFF"/>
            </w:tcBorders>
            <w:shd w:val="clear" w:color="auto" w:fill="9BBB59" w:themeFill="accent3"/>
          </w:tcPr>
          <w:p w:rsidR="00B43B4C" w:rsidRPr="008A410C" w:rsidRDefault="008A410C" w:rsidP="00DF08CC">
            <w:pPr>
              <w:jc w:val="both"/>
              <w:rPr>
                <w:b/>
                <w:bCs/>
                <w:color w:val="FFFFFF"/>
                <w:sz w:val="20"/>
                <w:szCs w:val="20"/>
              </w:rPr>
            </w:pPr>
            <w:r>
              <w:rPr>
                <w:b/>
                <w:bCs/>
                <w:color w:val="FFFFFF"/>
                <w:sz w:val="20"/>
                <w:szCs w:val="20"/>
              </w:rPr>
              <w:t>30.06.2016 г.</w:t>
            </w:r>
          </w:p>
        </w:tc>
        <w:tc>
          <w:tcPr>
            <w:tcW w:w="2069" w:type="dxa"/>
            <w:tcBorders>
              <w:top w:val="single" w:sz="6" w:space="0" w:color="FFFFFF"/>
              <w:left w:val="single" w:sz="8" w:space="0" w:color="FFFFFF"/>
              <w:bottom w:val="nil"/>
              <w:right w:val="single" w:sz="8" w:space="0" w:color="FFFFFF"/>
            </w:tcBorders>
            <w:shd w:val="clear" w:color="auto" w:fill="C2D69B" w:themeFill="accent3" w:themeFillTint="99"/>
          </w:tcPr>
          <w:p w:rsidR="00B43B4C" w:rsidRDefault="008A410C" w:rsidP="00DF08CC">
            <w:pPr>
              <w:jc w:val="both"/>
              <w:rPr>
                <w:sz w:val="21"/>
                <w:szCs w:val="21"/>
              </w:rPr>
            </w:pPr>
            <w:r>
              <w:rPr>
                <w:sz w:val="21"/>
                <w:szCs w:val="21"/>
              </w:rPr>
              <w:t>37</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B43B4C" w:rsidRDefault="008A410C" w:rsidP="00DF08CC">
            <w:pPr>
              <w:jc w:val="both"/>
              <w:rPr>
                <w:sz w:val="21"/>
                <w:szCs w:val="21"/>
              </w:rPr>
            </w:pPr>
            <w:r>
              <w:rPr>
                <w:sz w:val="21"/>
                <w:szCs w:val="21"/>
              </w:rPr>
              <w:t>37</w:t>
            </w:r>
          </w:p>
        </w:tc>
        <w:tc>
          <w:tcPr>
            <w:tcW w:w="1134" w:type="dxa"/>
            <w:tcBorders>
              <w:top w:val="single" w:sz="8" w:space="0" w:color="FFFFFF"/>
              <w:left w:val="single" w:sz="24" w:space="0" w:color="FFFFFF"/>
              <w:bottom w:val="nil"/>
              <w:right w:val="nil"/>
            </w:tcBorders>
            <w:shd w:val="clear" w:color="auto" w:fill="76923C" w:themeFill="accent3" w:themeFillShade="BF"/>
          </w:tcPr>
          <w:p w:rsidR="00B43B4C" w:rsidRDefault="008A410C" w:rsidP="00DF08CC">
            <w:pPr>
              <w:jc w:val="both"/>
              <w:rPr>
                <w:b/>
                <w:bCs/>
                <w:color w:val="FFFFFF" w:themeColor="background1"/>
                <w:sz w:val="21"/>
                <w:szCs w:val="21"/>
              </w:rPr>
            </w:pPr>
            <w:r>
              <w:rPr>
                <w:b/>
                <w:bCs/>
                <w:color w:val="FFFFFF" w:themeColor="background1"/>
                <w:sz w:val="21"/>
                <w:szCs w:val="21"/>
              </w:rPr>
              <w:t>37</w:t>
            </w:r>
          </w:p>
        </w:tc>
        <w:tc>
          <w:tcPr>
            <w:tcW w:w="3217" w:type="dxa"/>
            <w:tcBorders>
              <w:top w:val="single" w:sz="8" w:space="0" w:color="FFFFFF"/>
              <w:left w:val="single" w:sz="24" w:space="0" w:color="FFFFFF"/>
              <w:right w:val="nil"/>
            </w:tcBorders>
            <w:shd w:val="clear" w:color="auto" w:fill="4F6228" w:themeFill="accent3" w:themeFillShade="80"/>
          </w:tcPr>
          <w:p w:rsidR="00B43B4C" w:rsidRDefault="00B43B4C" w:rsidP="00DF08CC">
            <w:pPr>
              <w:jc w:val="both"/>
              <w:rPr>
                <w:b/>
                <w:bCs/>
                <w:color w:val="FFFFFF"/>
                <w:sz w:val="21"/>
                <w:szCs w:val="21"/>
              </w:rPr>
            </w:pPr>
          </w:p>
        </w:tc>
      </w:tr>
      <w:tr w:rsidR="00DF08CC" w:rsidRPr="001F67EB" w:rsidTr="003943C6">
        <w:tc>
          <w:tcPr>
            <w:tcW w:w="3078" w:type="dxa"/>
            <w:tcBorders>
              <w:top w:val="single" w:sz="8" w:space="0" w:color="FFFFFF"/>
              <w:left w:val="single" w:sz="8" w:space="0" w:color="FFFFFF"/>
              <w:bottom w:val="nil"/>
              <w:right w:val="single" w:sz="24" w:space="0" w:color="FFFFFF"/>
            </w:tcBorders>
            <w:shd w:val="clear" w:color="auto" w:fill="4F6228" w:themeFill="accent3" w:themeFillShade="80"/>
            <w:hideMark/>
          </w:tcPr>
          <w:p w:rsidR="00DF08CC" w:rsidRPr="00536A5E" w:rsidRDefault="00DF08CC" w:rsidP="006D1279">
            <w:pPr>
              <w:jc w:val="both"/>
              <w:rPr>
                <w:b/>
                <w:bCs/>
                <w:color w:val="FFFFFF" w:themeColor="background1"/>
                <w:sz w:val="21"/>
                <w:szCs w:val="21"/>
              </w:rPr>
            </w:pPr>
            <w:r w:rsidRPr="001F67EB">
              <w:rPr>
                <w:b/>
                <w:bCs/>
                <w:color w:val="FFFFFF" w:themeColor="background1"/>
                <w:sz w:val="21"/>
                <w:szCs w:val="21"/>
              </w:rPr>
              <w:t>ОБЩО</w:t>
            </w:r>
            <w:r>
              <w:rPr>
                <w:b/>
                <w:bCs/>
                <w:color w:val="FFFFFF" w:themeColor="background1"/>
                <w:sz w:val="21"/>
                <w:szCs w:val="21"/>
                <w:lang w:val="en-US"/>
              </w:rPr>
              <w:t xml:space="preserve">: </w:t>
            </w:r>
            <w:r w:rsidR="008A410C">
              <w:rPr>
                <w:b/>
                <w:bCs/>
                <w:color w:val="FFFFFF" w:themeColor="background1"/>
                <w:sz w:val="21"/>
                <w:szCs w:val="21"/>
              </w:rPr>
              <w:t xml:space="preserve">  1</w:t>
            </w:r>
            <w:r w:rsidR="006D1279">
              <w:rPr>
                <w:b/>
                <w:bCs/>
                <w:color w:val="FFFFFF" w:themeColor="background1"/>
                <w:sz w:val="21"/>
                <w:szCs w:val="21"/>
              </w:rPr>
              <w:t>2</w:t>
            </w:r>
            <w:r>
              <w:rPr>
                <w:b/>
                <w:bCs/>
                <w:color w:val="FFFFFF" w:themeColor="background1"/>
                <w:sz w:val="21"/>
                <w:szCs w:val="21"/>
                <w:lang w:val="en-US"/>
              </w:rPr>
              <w:t xml:space="preserve"> </w:t>
            </w:r>
            <w:r>
              <w:rPr>
                <w:b/>
                <w:bCs/>
                <w:color w:val="FFFFFF" w:themeColor="background1"/>
                <w:sz w:val="21"/>
                <w:szCs w:val="21"/>
              </w:rPr>
              <w:t>заседания</w:t>
            </w:r>
          </w:p>
        </w:tc>
        <w:tc>
          <w:tcPr>
            <w:tcW w:w="4620" w:type="dxa"/>
            <w:gridSpan w:val="3"/>
            <w:tcBorders>
              <w:top w:val="single" w:sz="6" w:space="0" w:color="FFFFFF"/>
              <w:left w:val="single" w:sz="8" w:space="0" w:color="FFFFFF"/>
              <w:bottom w:val="nil"/>
              <w:right w:val="single" w:sz="8" w:space="0" w:color="FFFFFF"/>
            </w:tcBorders>
            <w:shd w:val="clear" w:color="auto" w:fill="4F6228" w:themeFill="accent3" w:themeFillShade="80"/>
          </w:tcPr>
          <w:p w:rsidR="00DF08CC" w:rsidRPr="00D72776" w:rsidRDefault="00DF08CC" w:rsidP="00BB6939">
            <w:pPr>
              <w:tabs>
                <w:tab w:val="left" w:pos="1903"/>
                <w:tab w:val="center" w:pos="2252"/>
              </w:tabs>
              <w:rPr>
                <w:b/>
                <w:color w:val="FFFFFF" w:themeColor="background1"/>
                <w:sz w:val="21"/>
                <w:szCs w:val="21"/>
              </w:rPr>
            </w:pPr>
            <w:r>
              <w:rPr>
                <w:color w:val="FFFFFF" w:themeColor="background1"/>
                <w:sz w:val="21"/>
                <w:szCs w:val="21"/>
              </w:rPr>
              <w:tab/>
              <w:t xml:space="preserve">                         </w:t>
            </w:r>
            <w:r>
              <w:rPr>
                <w:color w:val="FFFFFF" w:themeColor="background1"/>
                <w:sz w:val="21"/>
                <w:szCs w:val="21"/>
              </w:rPr>
              <w:tab/>
            </w:r>
            <w:r w:rsidR="008A410C">
              <w:rPr>
                <w:color w:val="FFFFFF" w:themeColor="background1"/>
                <w:sz w:val="21"/>
                <w:szCs w:val="21"/>
              </w:rPr>
              <w:t>2</w:t>
            </w:r>
            <w:r w:rsidR="00BB6939">
              <w:rPr>
                <w:color w:val="FFFFFF" w:themeColor="background1"/>
                <w:sz w:val="21"/>
                <w:szCs w:val="21"/>
              </w:rPr>
              <w:t>24</w:t>
            </w:r>
          </w:p>
        </w:tc>
        <w:tc>
          <w:tcPr>
            <w:tcW w:w="3217" w:type="dxa"/>
            <w:tcBorders>
              <w:top w:val="single" w:sz="8" w:space="0" w:color="FFFFFF"/>
              <w:left w:val="single" w:sz="24" w:space="0" w:color="FFFFFF"/>
              <w:bottom w:val="nil"/>
              <w:right w:val="nil"/>
            </w:tcBorders>
            <w:shd w:val="clear" w:color="auto" w:fill="4F6228" w:themeFill="accent3" w:themeFillShade="80"/>
          </w:tcPr>
          <w:p w:rsidR="00DF08CC" w:rsidRPr="007565E2" w:rsidRDefault="00DF08CC" w:rsidP="00DF08CC">
            <w:pPr>
              <w:jc w:val="both"/>
              <w:rPr>
                <w:b/>
                <w:bCs/>
                <w:color w:val="FFFFFF" w:themeColor="background1"/>
                <w:sz w:val="21"/>
                <w:szCs w:val="21"/>
              </w:rPr>
            </w:pPr>
          </w:p>
        </w:tc>
      </w:tr>
    </w:tbl>
    <w:p w:rsidR="006A314B" w:rsidRDefault="006A314B" w:rsidP="00FF1FF2">
      <w:pPr>
        <w:pStyle w:val="ListParagraph"/>
        <w:ind w:left="0" w:firstLine="708"/>
        <w:jc w:val="both"/>
        <w:rPr>
          <w:rFonts w:asciiTheme="majorHAnsi" w:hAnsiTheme="majorHAnsi"/>
        </w:rPr>
      </w:pPr>
    </w:p>
    <w:p w:rsidR="00557647" w:rsidRPr="00C85C75" w:rsidRDefault="00557647" w:rsidP="00557647">
      <w:pPr>
        <w:pStyle w:val="ListParagraph"/>
        <w:numPr>
          <w:ilvl w:val="1"/>
          <w:numId w:val="34"/>
        </w:numPr>
        <w:ind w:left="1530" w:hanging="462"/>
        <w:jc w:val="both"/>
        <w:rPr>
          <w:rFonts w:asciiTheme="majorHAnsi" w:hAnsiTheme="majorHAnsi"/>
          <w:b/>
          <w:sz w:val="28"/>
          <w:szCs w:val="28"/>
        </w:rPr>
      </w:pPr>
      <w:r w:rsidRPr="00C85C75">
        <w:rPr>
          <w:rFonts w:asciiTheme="majorHAnsi" w:hAnsiTheme="majorHAnsi"/>
          <w:b/>
          <w:sz w:val="28"/>
          <w:szCs w:val="28"/>
        </w:rPr>
        <w:t>Движение на молбите</w:t>
      </w:r>
    </w:p>
    <w:p w:rsidR="00557647" w:rsidRPr="00557647" w:rsidRDefault="00557647" w:rsidP="00557647">
      <w:pPr>
        <w:pStyle w:val="ListParagraph"/>
        <w:ind w:left="0" w:firstLine="708"/>
        <w:jc w:val="both"/>
        <w:rPr>
          <w:rFonts w:asciiTheme="majorHAnsi" w:hAnsiTheme="majorHAnsi"/>
        </w:rPr>
      </w:pPr>
      <w:r w:rsidRPr="00557647">
        <w:rPr>
          <w:rFonts w:asciiTheme="majorHAnsi" w:hAnsiTheme="majorHAnsi"/>
        </w:rPr>
        <w:t xml:space="preserve">През </w:t>
      </w:r>
      <w:r w:rsidR="00C16B5C">
        <w:rPr>
          <w:rFonts w:asciiTheme="majorHAnsi" w:hAnsiTheme="majorHAnsi"/>
        </w:rPr>
        <w:t xml:space="preserve">второто тримесечие на </w:t>
      </w:r>
      <w:r w:rsidRPr="00557647">
        <w:rPr>
          <w:rFonts w:asciiTheme="majorHAnsi" w:hAnsiTheme="majorHAnsi"/>
        </w:rPr>
        <w:t>201</w:t>
      </w:r>
      <w:r w:rsidR="00C16B5C">
        <w:rPr>
          <w:rFonts w:asciiTheme="majorHAnsi" w:hAnsiTheme="majorHAnsi"/>
        </w:rPr>
        <w:t>6</w:t>
      </w:r>
      <w:r w:rsidRPr="00557647">
        <w:rPr>
          <w:rFonts w:asciiTheme="majorHAnsi" w:hAnsiTheme="majorHAnsi"/>
        </w:rPr>
        <w:t xml:space="preserve"> г. </w:t>
      </w:r>
      <w:r w:rsidR="00C16B5C">
        <w:rPr>
          <w:rFonts w:asciiTheme="majorHAnsi" w:hAnsiTheme="majorHAnsi"/>
        </w:rPr>
        <w:t>не се наблюдават съществени отклонения в</w:t>
      </w:r>
      <w:r w:rsidRPr="00557647">
        <w:rPr>
          <w:rFonts w:asciiTheme="majorHAnsi" w:hAnsiTheme="majorHAnsi"/>
        </w:rPr>
        <w:t xml:space="preserve"> </w:t>
      </w:r>
      <w:r w:rsidRPr="0063210B">
        <w:rPr>
          <w:rFonts w:asciiTheme="majorHAnsi" w:hAnsiTheme="majorHAnsi"/>
          <w:b/>
        </w:rPr>
        <w:t>средния брой на постъпващите молби на месец</w:t>
      </w:r>
      <w:r w:rsidR="00C16B5C">
        <w:rPr>
          <w:rFonts w:asciiTheme="majorHAnsi" w:hAnsiTheme="majorHAnsi"/>
        </w:rPr>
        <w:t xml:space="preserve"> (около 35-40</w:t>
      </w:r>
      <w:r w:rsidRPr="00557647">
        <w:rPr>
          <w:rFonts w:asciiTheme="majorHAnsi" w:hAnsiTheme="majorHAnsi"/>
        </w:rPr>
        <w:t>). Средномесечният брой на молбите, които се разглеждат по същество, е запазен и съвпада със средномесечния брой за предходните президентски мандати при равни други условия (отсъствие на резки изменения на законодателството, липса на предстояща или скоро настъпила промяна в титуляра на правото на помилване и др.).</w:t>
      </w:r>
    </w:p>
    <w:p w:rsidR="00557647" w:rsidRPr="00557647" w:rsidRDefault="00557647" w:rsidP="00557647">
      <w:pPr>
        <w:pStyle w:val="ListParagraph"/>
        <w:ind w:left="0" w:firstLine="708"/>
        <w:jc w:val="both"/>
        <w:rPr>
          <w:rFonts w:asciiTheme="majorHAnsi" w:hAnsiTheme="majorHAnsi"/>
        </w:rPr>
      </w:pPr>
      <w:r w:rsidRPr="00557647">
        <w:rPr>
          <w:rFonts w:asciiTheme="majorHAnsi" w:hAnsiTheme="majorHAnsi"/>
        </w:rPr>
        <w:t xml:space="preserve">Броят на решените молби и </w:t>
      </w:r>
      <w:r w:rsidRPr="00557647">
        <w:rPr>
          <w:rFonts w:asciiTheme="majorHAnsi" w:hAnsiTheme="majorHAnsi"/>
          <w:b/>
        </w:rPr>
        <w:t>сроковете за тяхното разглеждане</w:t>
      </w:r>
      <w:r w:rsidRPr="00557647">
        <w:rPr>
          <w:rFonts w:asciiTheme="majorHAnsi" w:hAnsiTheme="majorHAnsi"/>
        </w:rPr>
        <w:t xml:space="preserve"> и решаване </w:t>
      </w:r>
      <w:r w:rsidRPr="00557647">
        <w:rPr>
          <w:rFonts w:asciiTheme="majorHAnsi" w:hAnsiTheme="majorHAnsi"/>
          <w:b/>
        </w:rPr>
        <w:t>зависи от навременното получаване на информация</w:t>
      </w:r>
      <w:r w:rsidRPr="00557647">
        <w:rPr>
          <w:rFonts w:asciiTheme="majorHAnsi" w:hAnsiTheme="majorHAnsi"/>
        </w:rPr>
        <w:t xml:space="preserve">, която Комисията изисква от други държавни органи, най-съществените от които са затворните администрации. </w:t>
      </w:r>
    </w:p>
    <w:p w:rsidR="00DD4578" w:rsidRDefault="00DD4578" w:rsidP="00DD4578">
      <w:pPr>
        <w:pStyle w:val="ListParagraph"/>
        <w:ind w:left="0" w:firstLine="708"/>
        <w:jc w:val="both"/>
        <w:rPr>
          <w:rFonts w:asciiTheme="majorHAnsi" w:hAnsiTheme="majorHAnsi"/>
        </w:rPr>
      </w:pPr>
      <w:r>
        <w:rPr>
          <w:rFonts w:asciiTheme="majorHAnsi" w:hAnsiTheme="majorHAnsi"/>
        </w:rPr>
        <w:t>И п</w:t>
      </w:r>
      <w:r w:rsidR="00557647" w:rsidRPr="00557647">
        <w:rPr>
          <w:rFonts w:asciiTheme="majorHAnsi" w:hAnsiTheme="majorHAnsi"/>
        </w:rPr>
        <w:t xml:space="preserve">рез </w:t>
      </w:r>
      <w:r w:rsidR="00C16B5C">
        <w:rPr>
          <w:rFonts w:asciiTheme="majorHAnsi" w:hAnsiTheme="majorHAnsi"/>
        </w:rPr>
        <w:t>второто</w:t>
      </w:r>
      <w:r>
        <w:rPr>
          <w:rFonts w:asciiTheme="majorHAnsi" w:hAnsiTheme="majorHAnsi"/>
        </w:rPr>
        <w:t xml:space="preserve"> тримесечие на </w:t>
      </w:r>
      <w:r w:rsidR="00557647" w:rsidRPr="00557647">
        <w:rPr>
          <w:rFonts w:asciiTheme="majorHAnsi" w:hAnsiTheme="majorHAnsi"/>
        </w:rPr>
        <w:t>201</w:t>
      </w:r>
      <w:r>
        <w:rPr>
          <w:rFonts w:asciiTheme="majorHAnsi" w:hAnsiTheme="majorHAnsi"/>
        </w:rPr>
        <w:t>6</w:t>
      </w:r>
      <w:r w:rsidR="00557647" w:rsidRPr="00557647">
        <w:rPr>
          <w:rFonts w:asciiTheme="majorHAnsi" w:hAnsiTheme="majorHAnsi"/>
        </w:rPr>
        <w:t xml:space="preserve"> г. </w:t>
      </w:r>
      <w:r w:rsidR="005B6DF3">
        <w:rPr>
          <w:rFonts w:asciiTheme="majorHAnsi" w:hAnsiTheme="majorHAnsi"/>
        </w:rPr>
        <w:t xml:space="preserve">постъпването на </w:t>
      </w:r>
      <w:r w:rsidR="00557647" w:rsidRPr="00557647">
        <w:rPr>
          <w:rFonts w:asciiTheme="majorHAnsi" w:hAnsiTheme="majorHAnsi"/>
        </w:rPr>
        <w:t>справките</w:t>
      </w:r>
      <w:r w:rsidR="0063210B">
        <w:rPr>
          <w:rFonts w:asciiTheme="majorHAnsi" w:hAnsiTheme="majorHAnsi"/>
        </w:rPr>
        <w:t xml:space="preserve"> за осъдените</w:t>
      </w:r>
      <w:r w:rsidR="00557647" w:rsidRPr="00557647">
        <w:rPr>
          <w:rFonts w:asciiTheme="majorHAnsi" w:hAnsiTheme="majorHAnsi"/>
        </w:rPr>
        <w:t xml:space="preserve"> от ГД</w:t>
      </w:r>
      <w:r w:rsidR="00557647">
        <w:rPr>
          <w:rFonts w:asciiTheme="majorHAnsi" w:hAnsiTheme="majorHAnsi"/>
        </w:rPr>
        <w:t xml:space="preserve"> ,,Изпълнение на наказанията“ към Министерството на правосъдието </w:t>
      </w:r>
      <w:r w:rsidR="005460F0">
        <w:rPr>
          <w:rFonts w:asciiTheme="majorHAnsi" w:hAnsiTheme="majorHAnsi"/>
        </w:rPr>
        <w:t>продължава да е</w:t>
      </w:r>
      <w:r w:rsidR="005B6DF3">
        <w:rPr>
          <w:rFonts w:asciiTheme="majorHAnsi" w:hAnsiTheme="majorHAnsi"/>
        </w:rPr>
        <w:t xml:space="preserve"> неритмично със случаи на необичайна продължителност на сроковете между поискването и получаването на документите</w:t>
      </w:r>
      <w:r w:rsidR="00557647">
        <w:rPr>
          <w:rFonts w:asciiTheme="majorHAnsi" w:hAnsiTheme="majorHAnsi"/>
        </w:rPr>
        <w:t xml:space="preserve">. </w:t>
      </w:r>
      <w:r>
        <w:rPr>
          <w:rFonts w:asciiTheme="majorHAnsi" w:hAnsiTheme="majorHAnsi"/>
        </w:rPr>
        <w:t xml:space="preserve">През отчетния период КП е изпратила искане за справки за общо </w:t>
      </w:r>
      <w:r w:rsidR="005460F0">
        <w:rPr>
          <w:rFonts w:asciiTheme="majorHAnsi" w:hAnsiTheme="majorHAnsi"/>
        </w:rPr>
        <w:t>101</w:t>
      </w:r>
      <w:r>
        <w:rPr>
          <w:rFonts w:asciiTheme="majorHAnsi" w:hAnsiTheme="majorHAnsi"/>
        </w:rPr>
        <w:t xml:space="preserve"> осъдени лица, </w:t>
      </w:r>
      <w:r w:rsidR="005460F0">
        <w:rPr>
          <w:rFonts w:asciiTheme="majorHAnsi" w:hAnsiTheme="majorHAnsi"/>
        </w:rPr>
        <w:t>а е</w:t>
      </w:r>
      <w:r>
        <w:rPr>
          <w:rFonts w:asciiTheme="majorHAnsi" w:hAnsiTheme="majorHAnsi"/>
        </w:rPr>
        <w:t xml:space="preserve"> получ</w:t>
      </w:r>
      <w:r w:rsidR="005460F0">
        <w:rPr>
          <w:rFonts w:asciiTheme="majorHAnsi" w:hAnsiTheme="majorHAnsi"/>
        </w:rPr>
        <w:t>ила</w:t>
      </w:r>
      <w:r>
        <w:rPr>
          <w:rFonts w:asciiTheme="majorHAnsi" w:hAnsiTheme="majorHAnsi"/>
        </w:rPr>
        <w:t xml:space="preserve"> </w:t>
      </w:r>
      <w:r w:rsidR="005460F0">
        <w:rPr>
          <w:rFonts w:asciiTheme="majorHAnsi" w:hAnsiTheme="majorHAnsi"/>
        </w:rPr>
        <w:t>едва 47, от които 12 са били поискани в предходен отчетен период</w:t>
      </w:r>
      <w:r>
        <w:rPr>
          <w:rFonts w:asciiTheme="majorHAnsi" w:hAnsiTheme="majorHAnsi"/>
        </w:rPr>
        <w:t xml:space="preserve">. </w:t>
      </w:r>
      <w:r w:rsidRPr="00DF08CC">
        <w:rPr>
          <w:rFonts w:asciiTheme="majorHAnsi" w:hAnsiTheme="majorHAnsi"/>
        </w:rPr>
        <w:t xml:space="preserve">В края на </w:t>
      </w:r>
      <w:r w:rsidR="00C16B5C">
        <w:rPr>
          <w:rFonts w:asciiTheme="majorHAnsi" w:hAnsiTheme="majorHAnsi"/>
        </w:rPr>
        <w:t>юни</w:t>
      </w:r>
      <w:r>
        <w:rPr>
          <w:rFonts w:asciiTheme="majorHAnsi" w:hAnsiTheme="majorHAnsi"/>
        </w:rPr>
        <w:t xml:space="preserve"> 2016 г.</w:t>
      </w:r>
      <w:r w:rsidRPr="00DF08CC">
        <w:rPr>
          <w:rFonts w:asciiTheme="majorHAnsi" w:hAnsiTheme="majorHAnsi"/>
        </w:rPr>
        <w:t xml:space="preserve"> броят на изисканите </w:t>
      </w:r>
      <w:r w:rsidR="005460F0">
        <w:rPr>
          <w:rFonts w:asciiTheme="majorHAnsi" w:hAnsiTheme="majorHAnsi"/>
        </w:rPr>
        <w:t>и неполучени справки е 66</w:t>
      </w:r>
      <w:r w:rsidRPr="00DF08CC">
        <w:rPr>
          <w:rFonts w:asciiTheme="majorHAnsi" w:hAnsiTheme="majorHAnsi"/>
        </w:rPr>
        <w:t>.</w:t>
      </w:r>
      <w:r>
        <w:rPr>
          <w:rFonts w:asciiTheme="majorHAnsi" w:hAnsiTheme="majorHAnsi"/>
        </w:rPr>
        <w:t xml:space="preserve"> </w:t>
      </w:r>
    </w:p>
    <w:p w:rsidR="00557647" w:rsidRDefault="00557647" w:rsidP="00FF1FF2">
      <w:pPr>
        <w:pStyle w:val="ListParagraph"/>
        <w:ind w:left="0" w:firstLine="708"/>
        <w:jc w:val="both"/>
        <w:rPr>
          <w:rFonts w:asciiTheme="majorHAnsi" w:hAnsiTheme="majorHAnsi"/>
        </w:rPr>
      </w:pPr>
    </w:p>
    <w:p w:rsidR="00726CF7" w:rsidRPr="00726CF7" w:rsidRDefault="00726CF7" w:rsidP="00726CF7">
      <w:pPr>
        <w:pStyle w:val="ListParagraph"/>
        <w:ind w:left="0" w:firstLine="708"/>
        <w:jc w:val="both"/>
        <w:rPr>
          <w:rFonts w:asciiTheme="majorHAnsi" w:hAnsiTheme="majorHAnsi"/>
          <w:b/>
          <w:sz w:val="28"/>
          <w:szCs w:val="28"/>
        </w:rPr>
      </w:pPr>
      <w:r w:rsidRPr="00726CF7">
        <w:rPr>
          <w:rFonts w:asciiTheme="majorHAnsi" w:hAnsiTheme="majorHAnsi"/>
          <w:b/>
          <w:sz w:val="28"/>
          <w:szCs w:val="28"/>
        </w:rPr>
        <w:t>2.2 Профил на осъдените молители</w:t>
      </w:r>
    </w:p>
    <w:p w:rsidR="00726CF7" w:rsidRPr="00363A86" w:rsidRDefault="00B95AFF" w:rsidP="00726CF7">
      <w:pPr>
        <w:pStyle w:val="ListParagraph"/>
        <w:ind w:left="0" w:firstLine="708"/>
        <w:jc w:val="both"/>
        <w:rPr>
          <w:rFonts w:asciiTheme="majorHAnsi" w:hAnsiTheme="majorHAnsi"/>
          <w:b/>
        </w:rPr>
      </w:pPr>
      <w:r>
        <w:rPr>
          <w:rFonts w:asciiTheme="majorHAnsi" w:hAnsiTheme="majorHAnsi"/>
          <w:b/>
        </w:rPr>
        <w:t>2.2.1</w:t>
      </w:r>
      <w:r w:rsidR="00726CF7" w:rsidRPr="00363A86">
        <w:rPr>
          <w:rFonts w:asciiTheme="majorHAnsi" w:hAnsiTheme="majorHAnsi"/>
          <w:b/>
        </w:rPr>
        <w:t>. Личен профил</w:t>
      </w:r>
    </w:p>
    <w:p w:rsidR="00726CF7" w:rsidRDefault="00534455" w:rsidP="00726CF7">
      <w:pPr>
        <w:pStyle w:val="ListParagraph"/>
        <w:ind w:left="0" w:firstLine="708"/>
        <w:jc w:val="both"/>
        <w:rPr>
          <w:rFonts w:asciiTheme="majorHAnsi" w:hAnsiTheme="majorHAnsi"/>
        </w:rPr>
      </w:pPr>
      <w:r>
        <w:rPr>
          <w:noProof/>
        </w:rPr>
        <w:drawing>
          <wp:anchor distT="0" distB="0" distL="114300" distR="114300" simplePos="0" relativeHeight="251662336" behindDoc="0" locked="0" layoutInCell="1" allowOverlap="1" wp14:anchorId="678FFF6B" wp14:editId="1A468710">
            <wp:simplePos x="0" y="0"/>
            <wp:positionH relativeFrom="column">
              <wp:posOffset>-95250</wp:posOffset>
            </wp:positionH>
            <wp:positionV relativeFrom="paragraph">
              <wp:posOffset>128905</wp:posOffset>
            </wp:positionV>
            <wp:extent cx="3514725" cy="1971675"/>
            <wp:effectExtent l="0" t="0" r="9525" b="9525"/>
            <wp:wrapThrough wrapText="bothSides">
              <wp:wrapPolygon edited="0">
                <wp:start x="0" y="0"/>
                <wp:lineTo x="0" y="21496"/>
                <wp:lineTo x="21541" y="21496"/>
                <wp:lineTo x="21541" y="0"/>
                <wp:lineTo x="0" y="0"/>
              </wp:wrapPolygon>
            </wp:wrapThrough>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726CF7">
        <w:rPr>
          <w:rFonts w:asciiTheme="majorHAnsi" w:hAnsiTheme="majorHAnsi"/>
        </w:rPr>
        <w:t xml:space="preserve">През </w:t>
      </w:r>
      <w:r w:rsidR="002B2376">
        <w:rPr>
          <w:rFonts w:asciiTheme="majorHAnsi" w:hAnsiTheme="majorHAnsi"/>
        </w:rPr>
        <w:t>отчетния период</w:t>
      </w:r>
      <w:r w:rsidR="00726CF7">
        <w:rPr>
          <w:rFonts w:asciiTheme="majorHAnsi" w:hAnsiTheme="majorHAnsi"/>
        </w:rPr>
        <w:t xml:space="preserve"> са подадени молби </w:t>
      </w:r>
      <w:r w:rsidR="00BD4DC3">
        <w:rPr>
          <w:rFonts w:asciiTheme="majorHAnsi" w:hAnsiTheme="majorHAnsi"/>
        </w:rPr>
        <w:t>в полза на</w:t>
      </w:r>
      <w:r w:rsidR="00726CF7">
        <w:rPr>
          <w:rFonts w:asciiTheme="majorHAnsi" w:hAnsiTheme="majorHAnsi"/>
        </w:rPr>
        <w:t xml:space="preserve"> </w:t>
      </w:r>
      <w:r w:rsidR="00BC097C">
        <w:rPr>
          <w:rFonts w:asciiTheme="majorHAnsi" w:hAnsiTheme="majorHAnsi"/>
        </w:rPr>
        <w:t>2</w:t>
      </w:r>
      <w:r w:rsidR="00726CF7">
        <w:rPr>
          <w:rFonts w:asciiTheme="majorHAnsi" w:hAnsiTheme="majorHAnsi"/>
        </w:rPr>
        <w:t xml:space="preserve"> осъдени </w:t>
      </w:r>
      <w:r w:rsidR="00726CF7" w:rsidRPr="00363A86">
        <w:rPr>
          <w:rFonts w:asciiTheme="majorHAnsi" w:hAnsiTheme="majorHAnsi"/>
          <w:b/>
        </w:rPr>
        <w:t>жени</w:t>
      </w:r>
      <w:r w:rsidR="00726CF7">
        <w:rPr>
          <w:rFonts w:asciiTheme="majorHAnsi" w:hAnsiTheme="majorHAnsi"/>
        </w:rPr>
        <w:t>, които</w:t>
      </w:r>
      <w:r w:rsidR="00BD4DC3">
        <w:rPr>
          <w:rFonts w:asciiTheme="majorHAnsi" w:hAnsiTheme="majorHAnsi"/>
        </w:rPr>
        <w:t xml:space="preserve"> </w:t>
      </w:r>
      <w:r w:rsidR="00726CF7">
        <w:rPr>
          <w:rFonts w:asciiTheme="majorHAnsi" w:hAnsiTheme="majorHAnsi"/>
        </w:rPr>
        <w:t xml:space="preserve">изтърпяват наказание в затвора в Сливен. </w:t>
      </w:r>
      <w:r w:rsidR="0063210B">
        <w:rPr>
          <w:rFonts w:asciiTheme="majorHAnsi" w:hAnsiTheme="majorHAnsi"/>
        </w:rPr>
        <w:t>Останалите осъдени са мъже.</w:t>
      </w:r>
    </w:p>
    <w:p w:rsidR="0063210B" w:rsidRDefault="00013188" w:rsidP="00534455">
      <w:pPr>
        <w:pStyle w:val="ListParagraph"/>
        <w:ind w:left="0" w:firstLine="708"/>
        <w:jc w:val="both"/>
        <w:rPr>
          <w:rFonts w:asciiTheme="majorHAnsi" w:hAnsiTheme="majorHAnsi"/>
        </w:rPr>
      </w:pPr>
      <w:r>
        <w:rPr>
          <w:rFonts w:asciiTheme="majorHAnsi" w:hAnsiTheme="majorHAnsi"/>
        </w:rPr>
        <w:t>По отношение на останалите възрастови групи не се отчита съществена промяна спрямо предходни отчетни периоди.</w:t>
      </w:r>
      <w:r w:rsidR="00F143EB">
        <w:rPr>
          <w:rFonts w:asciiTheme="majorHAnsi" w:hAnsiTheme="majorHAnsi"/>
        </w:rPr>
        <w:t xml:space="preserve"> </w:t>
      </w:r>
      <w:r w:rsidR="00726CF7">
        <w:rPr>
          <w:rFonts w:asciiTheme="majorHAnsi" w:hAnsiTheme="majorHAnsi"/>
        </w:rPr>
        <w:t xml:space="preserve">Най-активна в търсенето на помилване </w:t>
      </w:r>
      <w:r w:rsidR="0067022A">
        <w:rPr>
          <w:rFonts w:asciiTheme="majorHAnsi" w:hAnsiTheme="majorHAnsi"/>
        </w:rPr>
        <w:t>постоянно</w:t>
      </w:r>
      <w:r w:rsidR="00726CF7">
        <w:rPr>
          <w:rFonts w:asciiTheme="majorHAnsi" w:hAnsiTheme="majorHAnsi"/>
        </w:rPr>
        <w:t xml:space="preserve"> е групата в активна трудоспособна възраст</w:t>
      </w:r>
      <w:r w:rsidR="0063210B">
        <w:rPr>
          <w:rFonts w:asciiTheme="majorHAnsi" w:hAnsiTheme="majorHAnsi"/>
        </w:rPr>
        <w:t>.</w:t>
      </w:r>
      <w:r w:rsidR="00726CF7">
        <w:rPr>
          <w:rFonts w:asciiTheme="majorHAnsi" w:hAnsiTheme="majorHAnsi"/>
        </w:rPr>
        <w:t xml:space="preserve"> </w:t>
      </w:r>
      <w:r w:rsidR="0063210B">
        <w:rPr>
          <w:rFonts w:asciiTheme="majorHAnsi" w:hAnsiTheme="majorHAnsi"/>
        </w:rPr>
        <w:t>О</w:t>
      </w:r>
      <w:r w:rsidR="00726CF7">
        <w:rPr>
          <w:rFonts w:asciiTheme="majorHAnsi" w:hAnsiTheme="majorHAnsi"/>
        </w:rPr>
        <w:t>съдените между 25 и 45 години надхвърлят 70% от всички молители.</w:t>
      </w:r>
      <w:r w:rsidR="00F143EB">
        <w:rPr>
          <w:rFonts w:asciiTheme="majorHAnsi" w:hAnsiTheme="majorHAnsi"/>
        </w:rPr>
        <w:t xml:space="preserve"> </w:t>
      </w:r>
    </w:p>
    <w:p w:rsidR="00BD62CA" w:rsidRDefault="00BD62CA" w:rsidP="00534455">
      <w:pPr>
        <w:pStyle w:val="ListParagraph"/>
        <w:ind w:left="0" w:firstLine="708"/>
        <w:jc w:val="both"/>
        <w:rPr>
          <w:rFonts w:asciiTheme="majorHAnsi" w:hAnsiTheme="majorHAnsi"/>
        </w:rPr>
      </w:pPr>
    </w:p>
    <w:p w:rsidR="00BD62CA" w:rsidRDefault="00BD62CA" w:rsidP="00534455">
      <w:pPr>
        <w:pStyle w:val="ListParagraph"/>
        <w:ind w:left="0" w:firstLine="708"/>
        <w:jc w:val="both"/>
        <w:rPr>
          <w:rFonts w:asciiTheme="majorHAnsi" w:hAnsiTheme="majorHAnsi"/>
        </w:rPr>
      </w:pPr>
    </w:p>
    <w:p w:rsidR="0067022A" w:rsidRDefault="004623F7" w:rsidP="00726CF7">
      <w:pPr>
        <w:ind w:firstLine="720"/>
        <w:jc w:val="both"/>
        <w:rPr>
          <w:noProof/>
        </w:rPr>
      </w:pPr>
      <w:r>
        <w:rPr>
          <w:noProof/>
        </w:rPr>
        <w:drawing>
          <wp:anchor distT="0" distB="0" distL="114300" distR="114300" simplePos="0" relativeHeight="251645952" behindDoc="1" locked="0" layoutInCell="1" allowOverlap="1" wp14:anchorId="6E9A69AF" wp14:editId="34D55663">
            <wp:simplePos x="0" y="0"/>
            <wp:positionH relativeFrom="column">
              <wp:posOffset>2905125</wp:posOffset>
            </wp:positionH>
            <wp:positionV relativeFrom="paragraph">
              <wp:posOffset>11430</wp:posOffset>
            </wp:positionV>
            <wp:extent cx="4143375" cy="2085975"/>
            <wp:effectExtent l="0" t="0" r="9525" b="9525"/>
            <wp:wrapTight wrapText="bothSides">
              <wp:wrapPolygon edited="0">
                <wp:start x="0" y="0"/>
                <wp:lineTo x="0" y="21501"/>
                <wp:lineTo x="21550" y="21501"/>
                <wp:lineTo x="21550"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10391E">
        <w:rPr>
          <w:rFonts w:asciiTheme="majorHAnsi" w:hAnsiTheme="majorHAnsi"/>
        </w:rPr>
        <w:t>Повечето молители от отчетния п</w:t>
      </w:r>
      <w:r>
        <w:rPr>
          <w:rFonts w:asciiTheme="majorHAnsi" w:hAnsiTheme="majorHAnsi"/>
        </w:rPr>
        <w:t>ериод нямат семейство. Дял от 35</w:t>
      </w:r>
      <w:r w:rsidR="0010391E">
        <w:rPr>
          <w:rFonts w:asciiTheme="majorHAnsi" w:hAnsiTheme="majorHAnsi"/>
        </w:rPr>
        <w:t xml:space="preserve"> % изобщо не са създавали такова, а </w:t>
      </w:r>
      <w:r>
        <w:rPr>
          <w:rFonts w:asciiTheme="majorHAnsi" w:hAnsiTheme="majorHAnsi"/>
        </w:rPr>
        <w:t>при 18</w:t>
      </w:r>
      <w:r w:rsidR="00406A94">
        <w:rPr>
          <w:rFonts w:asciiTheme="majorHAnsi" w:hAnsiTheme="majorHAnsi"/>
        </w:rPr>
        <w:t> </w:t>
      </w:r>
      <w:r w:rsidR="0010391E">
        <w:rPr>
          <w:rFonts w:asciiTheme="majorHAnsi" w:hAnsiTheme="majorHAnsi"/>
        </w:rPr>
        <w:t>% то се е разпаднало.</w:t>
      </w:r>
      <w:r w:rsidR="00406A94" w:rsidRPr="00406A94">
        <w:rPr>
          <w:noProof/>
        </w:rPr>
        <w:t xml:space="preserve"> </w:t>
      </w:r>
      <w:r w:rsidR="00BD62CA">
        <w:rPr>
          <w:noProof/>
        </w:rPr>
        <w:t>По този показател липсват отклонения в традиционния профил на молителите.</w:t>
      </w:r>
    </w:p>
    <w:p w:rsidR="00534455" w:rsidRDefault="00534455" w:rsidP="00726CF7">
      <w:pPr>
        <w:ind w:firstLine="720"/>
        <w:jc w:val="both"/>
        <w:rPr>
          <w:noProof/>
        </w:rPr>
      </w:pPr>
    </w:p>
    <w:p w:rsidR="00534455" w:rsidRDefault="00534455" w:rsidP="00726CF7">
      <w:pPr>
        <w:ind w:firstLine="720"/>
        <w:jc w:val="both"/>
        <w:rPr>
          <w:noProof/>
        </w:rPr>
      </w:pPr>
    </w:p>
    <w:p w:rsidR="00534455" w:rsidRDefault="00534455" w:rsidP="00726CF7">
      <w:pPr>
        <w:ind w:firstLine="720"/>
        <w:jc w:val="both"/>
        <w:rPr>
          <w:noProof/>
        </w:rPr>
      </w:pPr>
    </w:p>
    <w:p w:rsidR="00534455" w:rsidRDefault="00534455" w:rsidP="00726CF7">
      <w:pPr>
        <w:ind w:firstLine="720"/>
        <w:jc w:val="both"/>
        <w:rPr>
          <w:rFonts w:asciiTheme="majorHAnsi" w:hAnsiTheme="majorHAnsi"/>
        </w:rPr>
      </w:pPr>
    </w:p>
    <w:p w:rsidR="00BD62CA" w:rsidRDefault="00BD62CA" w:rsidP="00726CF7">
      <w:pPr>
        <w:ind w:firstLine="720"/>
        <w:jc w:val="both"/>
        <w:rPr>
          <w:rFonts w:asciiTheme="majorHAnsi" w:hAnsiTheme="majorHAnsi"/>
        </w:rPr>
      </w:pPr>
    </w:p>
    <w:p w:rsidR="00BD62CA" w:rsidRDefault="00BD62CA" w:rsidP="00726CF7">
      <w:pPr>
        <w:ind w:firstLine="720"/>
        <w:jc w:val="both"/>
        <w:rPr>
          <w:rFonts w:asciiTheme="majorHAnsi" w:hAnsiTheme="majorHAnsi"/>
        </w:rPr>
      </w:pPr>
    </w:p>
    <w:p w:rsidR="00BD62CA" w:rsidRDefault="00BD62CA" w:rsidP="00726CF7">
      <w:pPr>
        <w:ind w:firstLine="720"/>
        <w:jc w:val="both"/>
        <w:rPr>
          <w:rFonts w:asciiTheme="majorHAnsi" w:hAnsiTheme="majorHAnsi"/>
        </w:rPr>
      </w:pPr>
    </w:p>
    <w:p w:rsidR="00BD62CA" w:rsidRDefault="00BD62CA" w:rsidP="00726CF7">
      <w:pPr>
        <w:ind w:firstLine="720"/>
        <w:jc w:val="both"/>
        <w:rPr>
          <w:rFonts w:asciiTheme="majorHAnsi" w:hAnsiTheme="majorHAnsi"/>
        </w:rPr>
      </w:pPr>
    </w:p>
    <w:p w:rsidR="00022C27" w:rsidRDefault="00022C27" w:rsidP="00726CF7">
      <w:pPr>
        <w:ind w:firstLine="720"/>
        <w:jc w:val="both"/>
        <w:rPr>
          <w:rFonts w:asciiTheme="majorHAnsi" w:hAnsiTheme="majorHAnsi"/>
        </w:rPr>
      </w:pPr>
    </w:p>
    <w:p w:rsidR="00726CF7" w:rsidRDefault="00022C27" w:rsidP="00726CF7">
      <w:pPr>
        <w:ind w:firstLine="720"/>
        <w:jc w:val="both"/>
        <w:rPr>
          <w:rFonts w:asciiTheme="majorHAnsi" w:hAnsiTheme="majorHAnsi"/>
        </w:rPr>
      </w:pPr>
      <w:r>
        <w:rPr>
          <w:noProof/>
        </w:rPr>
        <w:drawing>
          <wp:anchor distT="0" distB="0" distL="114300" distR="114300" simplePos="0" relativeHeight="251663360" behindDoc="0" locked="0" layoutInCell="1" allowOverlap="1" wp14:anchorId="2E951645" wp14:editId="288410A3">
            <wp:simplePos x="0" y="0"/>
            <wp:positionH relativeFrom="column">
              <wp:posOffset>5715</wp:posOffset>
            </wp:positionH>
            <wp:positionV relativeFrom="paragraph">
              <wp:posOffset>109220</wp:posOffset>
            </wp:positionV>
            <wp:extent cx="3740150" cy="1745615"/>
            <wp:effectExtent l="0" t="0" r="12700" b="26035"/>
            <wp:wrapThrough wrapText="bothSides">
              <wp:wrapPolygon edited="0">
                <wp:start x="0" y="0"/>
                <wp:lineTo x="0" y="21686"/>
                <wp:lineTo x="21563" y="21686"/>
                <wp:lineTo x="21563"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726CF7">
        <w:rPr>
          <w:rFonts w:asciiTheme="majorHAnsi" w:hAnsiTheme="majorHAnsi"/>
        </w:rPr>
        <w:t xml:space="preserve">От общо </w:t>
      </w:r>
      <w:r w:rsidR="004623F7">
        <w:rPr>
          <w:rFonts w:asciiTheme="majorHAnsi" w:hAnsiTheme="majorHAnsi"/>
        </w:rPr>
        <w:t>48</w:t>
      </w:r>
      <w:r w:rsidR="00726CF7">
        <w:rPr>
          <w:rFonts w:asciiTheme="majorHAnsi" w:hAnsiTheme="majorHAnsi"/>
        </w:rPr>
        <w:t xml:space="preserve"> осъдени, за чието семейно положение са налице данни, </w:t>
      </w:r>
      <w:r w:rsidR="00406A94">
        <w:rPr>
          <w:rFonts w:asciiTheme="majorHAnsi" w:hAnsiTheme="majorHAnsi"/>
        </w:rPr>
        <w:t>повечето</w:t>
      </w:r>
      <w:r w:rsidR="00726CF7">
        <w:rPr>
          <w:rFonts w:asciiTheme="majorHAnsi" w:hAnsiTheme="majorHAnsi"/>
        </w:rPr>
        <w:t xml:space="preserve"> са </w:t>
      </w:r>
      <w:r w:rsidR="00726CF7" w:rsidRPr="00455F0A">
        <w:rPr>
          <w:rFonts w:asciiTheme="majorHAnsi" w:hAnsiTheme="majorHAnsi"/>
          <w:b/>
        </w:rPr>
        <w:t>родители</w:t>
      </w:r>
      <w:r w:rsidR="00726CF7">
        <w:rPr>
          <w:rFonts w:asciiTheme="majorHAnsi" w:hAnsiTheme="majorHAnsi"/>
        </w:rPr>
        <w:t xml:space="preserve"> на ненавършили пълнолетие деца, за които </w:t>
      </w:r>
      <w:r w:rsidR="00406A94">
        <w:rPr>
          <w:rFonts w:asciiTheme="majorHAnsi" w:hAnsiTheme="majorHAnsi"/>
        </w:rPr>
        <w:t xml:space="preserve">по принцип </w:t>
      </w:r>
      <w:r w:rsidR="00726CF7">
        <w:rPr>
          <w:rFonts w:asciiTheme="majorHAnsi" w:hAnsiTheme="majorHAnsi"/>
        </w:rPr>
        <w:t xml:space="preserve">са длъжни да полагат грижи. </w:t>
      </w:r>
      <w:r w:rsidR="00581010">
        <w:rPr>
          <w:rFonts w:asciiTheme="majorHAnsi" w:hAnsiTheme="majorHAnsi"/>
        </w:rPr>
        <w:t>Преобладват родителите, които нямат умения и мотивация да полагат системни грижи за децата и близките си.</w:t>
      </w:r>
    </w:p>
    <w:p w:rsidR="00022C27" w:rsidRDefault="00022C27" w:rsidP="00726CF7">
      <w:pPr>
        <w:ind w:firstLine="720"/>
        <w:jc w:val="both"/>
        <w:rPr>
          <w:rFonts w:asciiTheme="majorHAnsi" w:hAnsiTheme="majorHAnsi"/>
        </w:rPr>
      </w:pPr>
    </w:p>
    <w:p w:rsidR="00587BB5" w:rsidRDefault="004623F7" w:rsidP="00726CF7">
      <w:pPr>
        <w:ind w:firstLine="720"/>
        <w:jc w:val="both"/>
        <w:rPr>
          <w:rFonts w:asciiTheme="majorHAnsi" w:hAnsiTheme="majorHAnsi"/>
        </w:rPr>
      </w:pPr>
      <w:r>
        <w:rPr>
          <w:noProof/>
        </w:rPr>
        <w:drawing>
          <wp:anchor distT="0" distB="0" distL="114300" distR="114300" simplePos="0" relativeHeight="251660288" behindDoc="1" locked="0" layoutInCell="1" allowOverlap="1" wp14:anchorId="5200BA0E" wp14:editId="00EE824F">
            <wp:simplePos x="0" y="0"/>
            <wp:positionH relativeFrom="column">
              <wp:posOffset>-1024255</wp:posOffset>
            </wp:positionH>
            <wp:positionV relativeFrom="paragraph">
              <wp:posOffset>720725</wp:posOffset>
            </wp:positionV>
            <wp:extent cx="4257675" cy="2209800"/>
            <wp:effectExtent l="0" t="0" r="9525" b="19050"/>
            <wp:wrapTight wrapText="bothSides">
              <wp:wrapPolygon edited="0">
                <wp:start x="0" y="0"/>
                <wp:lineTo x="0" y="21600"/>
                <wp:lineTo x="21552" y="21600"/>
                <wp:lineTo x="21552"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ED2528">
        <w:rPr>
          <w:rFonts w:asciiTheme="majorHAnsi" w:hAnsiTheme="majorHAnsi"/>
          <w:b/>
        </w:rPr>
        <w:t xml:space="preserve">Дял от 34% от осъдените молители </w:t>
      </w:r>
      <w:r w:rsidR="00726CF7">
        <w:rPr>
          <w:rFonts w:asciiTheme="majorHAnsi" w:hAnsiTheme="majorHAnsi"/>
          <w:b/>
        </w:rPr>
        <w:t>нямат никаква професия и никога не са работили нищо.</w:t>
      </w:r>
      <w:r w:rsidR="00726CF7">
        <w:rPr>
          <w:rFonts w:asciiTheme="majorHAnsi" w:hAnsiTheme="majorHAnsi"/>
        </w:rPr>
        <w:t xml:space="preserve"> Те са практически социално изключени и водят престъпен начин на живот, като се издържат основно от користни престъпления и периодични престои в затвора. </w:t>
      </w:r>
      <w:r w:rsidR="00587BB5">
        <w:rPr>
          <w:rFonts w:asciiTheme="majorHAnsi" w:hAnsiTheme="majorHAnsi"/>
        </w:rPr>
        <w:t xml:space="preserve">По-голямата част от тях нямат навършени 40 години. </w:t>
      </w:r>
    </w:p>
    <w:p w:rsidR="00726CF7" w:rsidRDefault="00726CF7" w:rsidP="00726CF7">
      <w:pPr>
        <w:ind w:firstLine="720"/>
        <w:jc w:val="both"/>
        <w:rPr>
          <w:rFonts w:asciiTheme="majorHAnsi" w:hAnsiTheme="majorHAnsi"/>
        </w:rPr>
      </w:pPr>
      <w:r>
        <w:rPr>
          <w:rFonts w:asciiTheme="majorHAnsi" w:hAnsiTheme="majorHAnsi"/>
        </w:rPr>
        <w:t xml:space="preserve">Дял от </w:t>
      </w:r>
      <w:r w:rsidR="00406A94">
        <w:rPr>
          <w:rFonts w:asciiTheme="majorHAnsi" w:hAnsiTheme="majorHAnsi"/>
        </w:rPr>
        <w:t>3</w:t>
      </w:r>
      <w:r w:rsidR="00ED2528">
        <w:rPr>
          <w:rFonts w:asciiTheme="majorHAnsi" w:hAnsiTheme="majorHAnsi"/>
        </w:rPr>
        <w:t>5</w:t>
      </w:r>
      <w:r>
        <w:rPr>
          <w:rFonts w:asciiTheme="majorHAnsi" w:hAnsiTheme="majorHAnsi"/>
        </w:rPr>
        <w:t xml:space="preserve">% </w:t>
      </w:r>
      <w:r w:rsidR="0063210B">
        <w:rPr>
          <w:rFonts w:asciiTheme="majorHAnsi" w:hAnsiTheme="majorHAnsi"/>
        </w:rPr>
        <w:t xml:space="preserve">от осъдените молители </w:t>
      </w:r>
      <w:r>
        <w:rPr>
          <w:rFonts w:asciiTheme="majorHAnsi" w:hAnsiTheme="majorHAnsi"/>
        </w:rPr>
        <w:t xml:space="preserve">нямат квалификация, но са полагали неквалифициран общ физически труд. </w:t>
      </w:r>
      <w:r w:rsidR="00ED2528">
        <w:rPr>
          <w:rFonts w:asciiTheme="majorHAnsi" w:hAnsiTheme="majorHAnsi"/>
        </w:rPr>
        <w:t>Едва десетина</w:t>
      </w:r>
      <w:r w:rsidR="00406A94">
        <w:rPr>
          <w:rFonts w:asciiTheme="majorHAnsi" w:hAnsiTheme="majorHAnsi"/>
        </w:rPr>
        <w:t xml:space="preserve"> молители</w:t>
      </w:r>
      <w:r>
        <w:rPr>
          <w:rFonts w:asciiTheme="majorHAnsi" w:hAnsiTheme="majorHAnsi"/>
        </w:rPr>
        <w:t xml:space="preserve"> имат опит с квалифициран физически или технико-инженерен труд</w:t>
      </w:r>
      <w:r w:rsidR="0063210B">
        <w:rPr>
          <w:rFonts w:asciiTheme="majorHAnsi" w:hAnsiTheme="majorHAnsi"/>
        </w:rPr>
        <w:t>, за какъвто имат и съответната квалификация</w:t>
      </w:r>
      <w:r>
        <w:rPr>
          <w:rFonts w:asciiTheme="majorHAnsi" w:hAnsiTheme="majorHAnsi"/>
        </w:rPr>
        <w:t xml:space="preserve">. </w:t>
      </w:r>
    </w:p>
    <w:p w:rsidR="00726CF7" w:rsidRPr="0063210B" w:rsidRDefault="00726CF7" w:rsidP="0063210B">
      <w:pPr>
        <w:ind w:firstLine="720"/>
        <w:jc w:val="both"/>
        <w:rPr>
          <w:rFonts w:asciiTheme="majorHAnsi" w:hAnsiTheme="majorHAnsi"/>
          <w:b/>
        </w:rPr>
      </w:pPr>
      <w:r>
        <w:rPr>
          <w:rFonts w:asciiTheme="majorHAnsi" w:hAnsiTheme="majorHAnsi"/>
          <w:b/>
        </w:rPr>
        <w:t>Молителите без трудови навици и умения</w:t>
      </w:r>
      <w:r w:rsidR="0063210B">
        <w:rPr>
          <w:rFonts w:asciiTheme="majorHAnsi" w:hAnsiTheme="majorHAnsi"/>
          <w:b/>
        </w:rPr>
        <w:t xml:space="preserve"> изцяло включват най-слабо образованите</w:t>
      </w:r>
      <w:r>
        <w:rPr>
          <w:rFonts w:asciiTheme="majorHAnsi" w:hAnsiTheme="majorHAnsi"/>
          <w:b/>
        </w:rPr>
        <w:t xml:space="preserve"> груп</w:t>
      </w:r>
      <w:r w:rsidR="0063210B">
        <w:rPr>
          <w:rFonts w:asciiTheme="majorHAnsi" w:hAnsiTheme="majorHAnsi"/>
          <w:b/>
        </w:rPr>
        <w:t>и</w:t>
      </w:r>
      <w:r>
        <w:rPr>
          <w:rFonts w:asciiTheme="majorHAnsi" w:hAnsiTheme="majorHAnsi"/>
          <w:b/>
        </w:rPr>
        <w:t>, в ко</w:t>
      </w:r>
      <w:r w:rsidR="0063210B">
        <w:rPr>
          <w:rFonts w:asciiTheme="majorHAnsi" w:hAnsiTheme="majorHAnsi"/>
          <w:b/>
        </w:rPr>
        <w:t>и</w:t>
      </w:r>
      <w:r>
        <w:rPr>
          <w:rFonts w:asciiTheme="majorHAnsi" w:hAnsiTheme="majorHAnsi"/>
          <w:b/>
        </w:rPr>
        <w:t>то достигнатото образователно равнище, доколкото такова съществува, не е източник на реални знания</w:t>
      </w:r>
      <w:r w:rsidR="00587BB5">
        <w:rPr>
          <w:rStyle w:val="FootnoteReference"/>
          <w:rFonts w:asciiTheme="majorHAnsi" w:hAnsiTheme="majorHAnsi"/>
        </w:rPr>
        <w:footnoteReference w:id="4"/>
      </w:r>
      <w:r>
        <w:rPr>
          <w:rFonts w:asciiTheme="majorHAnsi" w:hAnsiTheme="majorHAnsi"/>
        </w:rPr>
        <w:t>.</w:t>
      </w:r>
      <w:r w:rsidR="00EE4853">
        <w:rPr>
          <w:rFonts w:asciiTheme="majorHAnsi" w:hAnsiTheme="majorHAnsi"/>
        </w:rPr>
        <w:t xml:space="preserve"> </w:t>
      </w:r>
      <w:r w:rsidR="00F143EB">
        <w:rPr>
          <w:rFonts w:asciiTheme="majorHAnsi" w:hAnsiTheme="majorHAnsi"/>
        </w:rPr>
        <w:t xml:space="preserve"> </w:t>
      </w:r>
    </w:p>
    <w:p w:rsidR="00013188" w:rsidRDefault="00013188" w:rsidP="00726CF7">
      <w:pPr>
        <w:ind w:firstLine="720"/>
        <w:jc w:val="both"/>
        <w:rPr>
          <w:rFonts w:asciiTheme="majorHAnsi" w:hAnsiTheme="majorHAnsi"/>
          <w:b/>
        </w:rPr>
      </w:pPr>
    </w:p>
    <w:p w:rsidR="00726CF7" w:rsidRPr="00455F0A" w:rsidRDefault="00726CF7" w:rsidP="00726CF7">
      <w:pPr>
        <w:ind w:firstLine="720"/>
        <w:jc w:val="both"/>
        <w:rPr>
          <w:rFonts w:asciiTheme="majorHAnsi" w:hAnsiTheme="majorHAnsi"/>
          <w:b/>
        </w:rPr>
      </w:pPr>
      <w:r w:rsidRPr="00455F0A">
        <w:rPr>
          <w:rFonts w:asciiTheme="majorHAnsi" w:hAnsiTheme="majorHAnsi"/>
          <w:b/>
        </w:rPr>
        <w:t>2.2.</w:t>
      </w:r>
      <w:r w:rsidR="00B95AFF">
        <w:rPr>
          <w:rFonts w:asciiTheme="majorHAnsi" w:hAnsiTheme="majorHAnsi"/>
          <w:b/>
        </w:rPr>
        <w:t>2</w:t>
      </w:r>
      <w:r w:rsidRPr="00455F0A">
        <w:rPr>
          <w:rFonts w:asciiTheme="majorHAnsi" w:hAnsiTheme="majorHAnsi"/>
          <w:b/>
        </w:rPr>
        <w:t>. Престъпен модел</w:t>
      </w:r>
      <w:r>
        <w:rPr>
          <w:rFonts w:asciiTheme="majorHAnsi" w:hAnsiTheme="majorHAnsi"/>
          <w:b/>
        </w:rPr>
        <w:t xml:space="preserve"> и риск</w:t>
      </w:r>
      <w:r w:rsidRPr="00455F0A">
        <w:rPr>
          <w:rFonts w:asciiTheme="majorHAnsi" w:hAnsiTheme="majorHAnsi"/>
          <w:b/>
        </w:rPr>
        <w:t xml:space="preserve"> от рецидив</w:t>
      </w:r>
      <w:r>
        <w:rPr>
          <w:rFonts w:asciiTheme="majorHAnsi" w:hAnsiTheme="majorHAnsi"/>
          <w:b/>
        </w:rPr>
        <w:t xml:space="preserve"> </w:t>
      </w:r>
    </w:p>
    <w:p w:rsidR="00587BB5" w:rsidRDefault="00726CF7" w:rsidP="00A87628">
      <w:pPr>
        <w:ind w:firstLine="720"/>
        <w:jc w:val="both"/>
        <w:rPr>
          <w:rFonts w:asciiTheme="majorHAnsi" w:hAnsiTheme="majorHAnsi"/>
        </w:rPr>
      </w:pPr>
      <w:r>
        <w:rPr>
          <w:rFonts w:asciiTheme="majorHAnsi" w:hAnsiTheme="majorHAnsi"/>
        </w:rPr>
        <w:t xml:space="preserve">Осъдените </w:t>
      </w:r>
      <w:r w:rsidR="00BD62CA">
        <w:rPr>
          <w:rFonts w:asciiTheme="majorHAnsi" w:hAnsiTheme="majorHAnsi"/>
        </w:rPr>
        <w:t>65</w:t>
      </w:r>
      <w:r>
        <w:rPr>
          <w:rFonts w:asciiTheme="majorHAnsi" w:hAnsiTheme="majorHAnsi"/>
        </w:rPr>
        <w:t xml:space="preserve"> молители са извършили общо </w:t>
      </w:r>
      <w:r w:rsidR="00ED2528">
        <w:rPr>
          <w:rFonts w:asciiTheme="majorHAnsi" w:hAnsiTheme="majorHAnsi"/>
        </w:rPr>
        <w:t>107</w:t>
      </w:r>
      <w:r>
        <w:rPr>
          <w:rFonts w:asciiTheme="majorHAnsi" w:hAnsiTheme="majorHAnsi"/>
        </w:rPr>
        <w:t xml:space="preserve"> престъпления, сред които </w:t>
      </w:r>
      <w:r w:rsidR="002B2376">
        <w:rPr>
          <w:rFonts w:asciiTheme="majorHAnsi" w:hAnsiTheme="majorHAnsi"/>
        </w:rPr>
        <w:t>най-голям е от</w:t>
      </w:r>
      <w:r w:rsidR="00ED2528">
        <w:rPr>
          <w:rFonts w:asciiTheme="majorHAnsi" w:hAnsiTheme="majorHAnsi"/>
        </w:rPr>
        <w:t>носителният дял на кражбите (13</w:t>
      </w:r>
      <w:r w:rsidR="002B2376">
        <w:rPr>
          <w:rFonts w:asciiTheme="majorHAnsi" w:hAnsiTheme="majorHAnsi"/>
        </w:rPr>
        <w:t>)</w:t>
      </w:r>
      <w:r w:rsidR="00C8478B">
        <w:rPr>
          <w:rFonts w:asciiTheme="majorHAnsi" w:hAnsiTheme="majorHAnsi"/>
        </w:rPr>
        <w:t>, общоопасните престъпления извън транспортните</w:t>
      </w:r>
      <w:r w:rsidR="002B2376">
        <w:rPr>
          <w:rFonts w:asciiTheme="majorHAnsi" w:hAnsiTheme="majorHAnsi"/>
        </w:rPr>
        <w:t xml:space="preserve"> </w:t>
      </w:r>
      <w:r w:rsidR="00C8478B">
        <w:rPr>
          <w:rFonts w:asciiTheme="majorHAnsi" w:hAnsiTheme="majorHAnsi"/>
        </w:rPr>
        <w:t xml:space="preserve">(13) </w:t>
      </w:r>
      <w:r w:rsidR="002B2376">
        <w:rPr>
          <w:rFonts w:asciiTheme="majorHAnsi" w:hAnsiTheme="majorHAnsi"/>
        </w:rPr>
        <w:t>и тежките умишлени убийства (</w:t>
      </w:r>
      <w:r w:rsidR="00C8478B">
        <w:rPr>
          <w:rFonts w:asciiTheme="majorHAnsi" w:hAnsiTheme="majorHAnsi"/>
        </w:rPr>
        <w:t>14</w:t>
      </w:r>
      <w:r w:rsidR="002B2376">
        <w:rPr>
          <w:rFonts w:asciiTheme="majorHAnsi" w:hAnsiTheme="majorHAnsi"/>
        </w:rPr>
        <w:t xml:space="preserve">). </w:t>
      </w:r>
      <w:r w:rsidR="002B2376">
        <w:rPr>
          <w:rFonts w:asciiTheme="majorHAnsi" w:hAnsiTheme="majorHAnsi"/>
          <w:b/>
        </w:rPr>
        <w:t>П</w:t>
      </w:r>
      <w:r w:rsidRPr="00DE5561">
        <w:rPr>
          <w:rFonts w:asciiTheme="majorHAnsi" w:hAnsiTheme="majorHAnsi"/>
          <w:b/>
        </w:rPr>
        <w:t xml:space="preserve">реобладават </w:t>
      </w:r>
      <w:r w:rsidR="00C8478B">
        <w:rPr>
          <w:rFonts w:asciiTheme="majorHAnsi" w:hAnsiTheme="majorHAnsi"/>
          <w:b/>
        </w:rPr>
        <w:t>умишлените посегателства</w:t>
      </w:r>
      <w:r w:rsidRPr="00DE5561">
        <w:rPr>
          <w:rFonts w:asciiTheme="majorHAnsi" w:hAnsiTheme="majorHAnsi"/>
          <w:b/>
        </w:rPr>
        <w:t xml:space="preserve"> с елемент на насилие</w:t>
      </w:r>
      <w:r>
        <w:rPr>
          <w:rFonts w:asciiTheme="majorHAnsi" w:hAnsiTheme="majorHAnsi"/>
        </w:rPr>
        <w:t xml:space="preserve"> – убийства, телесни повреди, сексуални престъпления, грабежи и др. (общо </w:t>
      </w:r>
      <w:r w:rsidR="00C8478B">
        <w:rPr>
          <w:rFonts w:asciiTheme="majorHAnsi" w:hAnsiTheme="majorHAnsi"/>
        </w:rPr>
        <w:t>46</w:t>
      </w:r>
      <w:r>
        <w:rPr>
          <w:rFonts w:asciiTheme="majorHAnsi" w:hAnsiTheme="majorHAnsi"/>
        </w:rPr>
        <w:t>)</w:t>
      </w:r>
      <w:r w:rsidR="00B4167A">
        <w:rPr>
          <w:rFonts w:asciiTheme="majorHAnsi" w:hAnsiTheme="majorHAnsi"/>
        </w:rPr>
        <w:t>.</w:t>
      </w:r>
      <w:r>
        <w:rPr>
          <w:rFonts w:asciiTheme="majorHAnsi" w:hAnsiTheme="majorHAnsi"/>
        </w:rPr>
        <w:t xml:space="preserve"> </w:t>
      </w:r>
      <w:r w:rsidR="00B4167A">
        <w:rPr>
          <w:rFonts w:asciiTheme="majorHAnsi" w:hAnsiTheme="majorHAnsi"/>
        </w:rPr>
        <w:t>О</w:t>
      </w:r>
      <w:r>
        <w:rPr>
          <w:rFonts w:asciiTheme="majorHAnsi" w:hAnsiTheme="majorHAnsi"/>
        </w:rPr>
        <w:t xml:space="preserve">т </w:t>
      </w:r>
      <w:r w:rsidR="00B4167A">
        <w:rPr>
          <w:rFonts w:asciiTheme="majorHAnsi" w:hAnsiTheme="majorHAnsi"/>
        </w:rPr>
        <w:t>тях</w:t>
      </w:r>
      <w:r>
        <w:rPr>
          <w:rFonts w:asciiTheme="majorHAnsi" w:hAnsiTheme="majorHAnsi"/>
        </w:rPr>
        <w:t xml:space="preserve"> </w:t>
      </w:r>
      <w:r w:rsidR="00C8478B">
        <w:rPr>
          <w:rFonts w:asciiTheme="majorHAnsi" w:hAnsiTheme="majorHAnsi"/>
        </w:rPr>
        <w:t>24</w:t>
      </w:r>
      <w:r>
        <w:rPr>
          <w:rFonts w:asciiTheme="majorHAnsi" w:hAnsiTheme="majorHAnsi"/>
        </w:rPr>
        <w:t xml:space="preserve"> са заст</w:t>
      </w:r>
      <w:r w:rsidR="00C8478B">
        <w:rPr>
          <w:rFonts w:asciiTheme="majorHAnsi" w:hAnsiTheme="majorHAnsi"/>
        </w:rPr>
        <w:t>рашили или отнели човешки живот</w:t>
      </w:r>
      <w:r>
        <w:rPr>
          <w:rFonts w:asciiTheme="majorHAnsi" w:hAnsiTheme="majorHAnsi"/>
        </w:rPr>
        <w:t>.</w:t>
      </w:r>
      <w:r w:rsidR="00A87628">
        <w:rPr>
          <w:rFonts w:asciiTheme="majorHAnsi" w:hAnsiTheme="majorHAnsi"/>
        </w:rPr>
        <w:t xml:space="preserve"> Кори</w:t>
      </w:r>
      <w:r w:rsidR="00C8478B">
        <w:rPr>
          <w:rFonts w:asciiTheme="majorHAnsi" w:hAnsiTheme="majorHAnsi"/>
        </w:rPr>
        <w:t>стният мотив е характерен за 35</w:t>
      </w:r>
      <w:r w:rsidR="00A87628">
        <w:rPr>
          <w:rFonts w:asciiTheme="majorHAnsi" w:hAnsiTheme="majorHAnsi"/>
        </w:rPr>
        <w:t xml:space="preserve"> от всички извършени от молителите престъпления</w:t>
      </w:r>
      <w:r w:rsidR="00B4167A">
        <w:rPr>
          <w:rFonts w:asciiTheme="majorHAnsi" w:hAnsiTheme="majorHAnsi"/>
        </w:rPr>
        <w:t>.</w:t>
      </w:r>
    </w:p>
    <w:p w:rsidR="00587BB5" w:rsidRDefault="00A87628" w:rsidP="003947C0">
      <w:pPr>
        <w:ind w:firstLine="720"/>
        <w:jc w:val="both"/>
        <w:rPr>
          <w:rFonts w:asciiTheme="majorHAnsi" w:hAnsiTheme="majorHAnsi"/>
        </w:rPr>
      </w:pPr>
      <w:r>
        <w:rPr>
          <w:rFonts w:asciiTheme="majorHAnsi" w:hAnsiTheme="majorHAnsi"/>
        </w:rPr>
        <w:t>Никой от молителите</w:t>
      </w:r>
      <w:r w:rsidR="00C8478B">
        <w:rPr>
          <w:rFonts w:asciiTheme="majorHAnsi" w:hAnsiTheme="majorHAnsi"/>
        </w:rPr>
        <w:t>, за чието съдебно минало има данни (общо 61),</w:t>
      </w:r>
      <w:r>
        <w:rPr>
          <w:rFonts w:asciiTheme="majorHAnsi" w:hAnsiTheme="majorHAnsi"/>
        </w:rPr>
        <w:t xml:space="preserve"> не е осъден за първо в живота му посегателство.</w:t>
      </w:r>
      <w:r w:rsidR="002213B1">
        <w:rPr>
          <w:rFonts w:asciiTheme="majorHAnsi" w:hAnsiTheme="majorHAnsi"/>
        </w:rPr>
        <w:t xml:space="preserve"> Всички </w:t>
      </w:r>
      <w:r>
        <w:rPr>
          <w:rFonts w:asciiTheme="majorHAnsi" w:hAnsiTheme="majorHAnsi"/>
        </w:rPr>
        <w:t>са извършвали престъпления в миналото</w:t>
      </w:r>
      <w:r w:rsidR="002213B1">
        <w:rPr>
          <w:rFonts w:asciiTheme="majorHAnsi" w:hAnsiTheme="majorHAnsi"/>
        </w:rPr>
        <w:t xml:space="preserve">, като само </w:t>
      </w:r>
      <w:r w:rsidR="00C8478B">
        <w:rPr>
          <w:rFonts w:asciiTheme="majorHAnsi" w:hAnsiTheme="majorHAnsi"/>
        </w:rPr>
        <w:t>петима</w:t>
      </w:r>
      <w:r w:rsidR="002213B1">
        <w:rPr>
          <w:rFonts w:asciiTheme="majorHAnsi" w:hAnsiTheme="majorHAnsi"/>
        </w:rPr>
        <w:t xml:space="preserve"> са се реабилитирали преди актуалното си осъждане. Сред останалите</w:t>
      </w:r>
      <w:r w:rsidR="00C8478B">
        <w:rPr>
          <w:rFonts w:asciiTheme="majorHAnsi" w:hAnsiTheme="majorHAnsi"/>
        </w:rPr>
        <w:t xml:space="preserve"> молители</w:t>
      </w:r>
      <w:r w:rsidR="002213B1">
        <w:rPr>
          <w:rFonts w:asciiTheme="majorHAnsi" w:hAnsiTheme="majorHAnsi"/>
        </w:rPr>
        <w:t xml:space="preserve"> </w:t>
      </w:r>
      <w:r w:rsidR="00C8478B">
        <w:rPr>
          <w:rFonts w:asciiTheme="majorHAnsi" w:hAnsiTheme="majorHAnsi"/>
        </w:rPr>
        <w:t>36</w:t>
      </w:r>
      <w:r w:rsidR="002213B1">
        <w:rPr>
          <w:rFonts w:asciiTheme="majorHAnsi" w:hAnsiTheme="majorHAnsi"/>
        </w:rPr>
        <w:t xml:space="preserve"> разкриват устойчив престъпен модел, а при </w:t>
      </w:r>
      <w:r w:rsidR="00C8478B">
        <w:rPr>
          <w:rFonts w:asciiTheme="majorHAnsi" w:hAnsiTheme="majorHAnsi"/>
        </w:rPr>
        <w:t xml:space="preserve">други 14 </w:t>
      </w:r>
      <w:r w:rsidR="002213B1">
        <w:rPr>
          <w:rFonts w:asciiTheme="majorHAnsi" w:hAnsiTheme="majorHAnsi"/>
        </w:rPr>
        <w:t xml:space="preserve">той ескалира в по-тежки престъпления след всяко осъждане. </w:t>
      </w:r>
      <w:r w:rsidR="003947C0">
        <w:rPr>
          <w:rFonts w:asciiTheme="majorHAnsi" w:hAnsiTheme="majorHAnsi"/>
        </w:rPr>
        <w:t>Тези видове престъпно поведение</w:t>
      </w:r>
      <w:r w:rsidR="00587BB5">
        <w:rPr>
          <w:rFonts w:asciiTheme="majorHAnsi" w:hAnsiTheme="majorHAnsi"/>
        </w:rPr>
        <w:t xml:space="preserve"> не се повлиява</w:t>
      </w:r>
      <w:r w:rsidR="003947C0">
        <w:rPr>
          <w:rFonts w:asciiTheme="majorHAnsi" w:hAnsiTheme="majorHAnsi"/>
        </w:rPr>
        <w:t>т</w:t>
      </w:r>
      <w:r w:rsidR="00587BB5">
        <w:rPr>
          <w:rFonts w:asciiTheme="majorHAnsi" w:hAnsiTheme="majorHAnsi"/>
        </w:rPr>
        <w:t xml:space="preserve"> от предходно наложената наказателна репресия поради криминогенни обстоятелства, свързани с </w:t>
      </w:r>
      <w:r w:rsidR="00B4167A">
        <w:rPr>
          <w:rFonts w:asciiTheme="majorHAnsi" w:hAnsiTheme="majorHAnsi"/>
        </w:rPr>
        <w:t>ранно оформен начин</w:t>
      </w:r>
      <w:r w:rsidR="00587BB5">
        <w:rPr>
          <w:rFonts w:asciiTheme="majorHAnsi" w:hAnsiTheme="majorHAnsi"/>
        </w:rPr>
        <w:t xml:space="preserve"> на живот на молителя на свобода, неговата среда и умения за законосъобразно справяне, включително недостига на подкрепа от обществото и държавата за по-лесно вграждане след напускане на затвора.</w:t>
      </w:r>
      <w:r w:rsidR="00B018E2">
        <w:rPr>
          <w:rFonts w:asciiTheme="majorHAnsi" w:hAnsiTheme="majorHAnsi"/>
        </w:rPr>
        <w:t xml:space="preserve"> </w:t>
      </w:r>
    </w:p>
    <w:p w:rsidR="00DD4578" w:rsidRDefault="0010391E" w:rsidP="003947C0">
      <w:pPr>
        <w:ind w:firstLine="720"/>
        <w:jc w:val="both"/>
        <w:rPr>
          <w:rFonts w:asciiTheme="majorHAnsi" w:hAnsiTheme="majorHAnsi"/>
        </w:rPr>
      </w:pPr>
      <w:r>
        <w:rPr>
          <w:rFonts w:asciiTheme="majorHAnsi" w:hAnsiTheme="majorHAnsi"/>
        </w:rPr>
        <w:t xml:space="preserve">През отчетния период </w:t>
      </w:r>
      <w:r w:rsidRPr="0010391E">
        <w:rPr>
          <w:rFonts w:asciiTheme="majorHAnsi" w:hAnsiTheme="majorHAnsi"/>
          <w:b/>
        </w:rPr>
        <w:t>рискът от рецидив</w:t>
      </w:r>
      <w:r w:rsidR="00BD62CA">
        <w:rPr>
          <w:rFonts w:asciiTheme="majorHAnsi" w:hAnsiTheme="majorHAnsi"/>
        </w:rPr>
        <w:t xml:space="preserve"> е измерен по отношение на 60</w:t>
      </w:r>
      <w:r>
        <w:rPr>
          <w:rFonts w:asciiTheme="majorHAnsi" w:hAnsiTheme="majorHAnsi"/>
        </w:rPr>
        <w:t xml:space="preserve"> осъдени молители (всичките изтърпяващи наказанието си в затвора, извършил оценяването). </w:t>
      </w:r>
      <w:r w:rsidR="009D4D0D">
        <w:rPr>
          <w:rFonts w:asciiTheme="majorHAnsi" w:hAnsiTheme="majorHAnsi"/>
        </w:rPr>
        <w:t>Както обикновено, най-голяма е групата на осъдените със среден риск (</w:t>
      </w:r>
      <w:r w:rsidR="00C8478B">
        <w:rPr>
          <w:rFonts w:asciiTheme="majorHAnsi" w:hAnsiTheme="majorHAnsi"/>
        </w:rPr>
        <w:t>32).</w:t>
      </w:r>
      <w:r w:rsidR="00C8478B" w:rsidRPr="00C8478B">
        <w:rPr>
          <w:noProof/>
        </w:rPr>
        <w:t xml:space="preserve"> </w:t>
      </w:r>
      <w:r w:rsidR="00C8478B">
        <w:rPr>
          <w:noProof/>
        </w:rPr>
        <w:drawing>
          <wp:anchor distT="0" distB="0" distL="114300" distR="114300" simplePos="0" relativeHeight="251712000" behindDoc="0" locked="0" layoutInCell="1" allowOverlap="1">
            <wp:simplePos x="0" y="0"/>
            <wp:positionH relativeFrom="column">
              <wp:posOffset>0</wp:posOffset>
            </wp:positionH>
            <wp:positionV relativeFrom="paragraph">
              <wp:posOffset>540385</wp:posOffset>
            </wp:positionV>
            <wp:extent cx="3823970" cy="1823720"/>
            <wp:effectExtent l="0" t="0" r="24130" b="24130"/>
            <wp:wrapThrough wrapText="bothSides">
              <wp:wrapPolygon edited="0">
                <wp:start x="0" y="0"/>
                <wp:lineTo x="0" y="21660"/>
                <wp:lineTo x="21629" y="21660"/>
                <wp:lineTo x="21629" y="0"/>
                <wp:lineTo x="0" y="0"/>
              </wp:wrapPolygon>
            </wp:wrapThrough>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7236C" w:rsidRDefault="0087236C" w:rsidP="0087236C">
      <w:pPr>
        <w:ind w:firstLine="720"/>
        <w:jc w:val="both"/>
        <w:rPr>
          <w:rFonts w:asciiTheme="majorHAnsi" w:hAnsiTheme="majorHAnsi"/>
        </w:rPr>
      </w:pPr>
      <w:r>
        <w:rPr>
          <w:rFonts w:asciiTheme="majorHAnsi" w:hAnsiTheme="majorHAnsi"/>
        </w:rPr>
        <w:t xml:space="preserve">Най-често рискът от рецидив </w:t>
      </w:r>
      <w:r w:rsidR="00BD62CA">
        <w:rPr>
          <w:rFonts w:asciiTheme="majorHAnsi" w:hAnsiTheme="majorHAnsi"/>
        </w:rPr>
        <w:t xml:space="preserve">продължава да </w:t>
      </w:r>
      <w:r>
        <w:rPr>
          <w:rFonts w:asciiTheme="majorHAnsi" w:hAnsiTheme="majorHAnsi"/>
        </w:rPr>
        <w:t>е обусловен от:</w:t>
      </w:r>
    </w:p>
    <w:p w:rsidR="0087236C" w:rsidRDefault="0087236C" w:rsidP="0087236C">
      <w:pPr>
        <w:ind w:firstLine="720"/>
        <w:jc w:val="both"/>
        <w:rPr>
          <w:rFonts w:asciiTheme="majorHAnsi" w:hAnsiTheme="majorHAnsi"/>
        </w:rPr>
      </w:pPr>
      <w:r>
        <w:rPr>
          <w:rFonts w:asciiTheme="majorHAnsi" w:hAnsiTheme="majorHAnsi"/>
        </w:rPr>
        <w:t>- безкритичното отношение на дееца към извършеното от него и причинените с престъплението вреди, безразличен или отмъстителен към пострадалите, като способността им да изпитват съпричастност към другите и вина за причинените им страдания е сериозно нарушена или отсъства (,,отношение към правонарушението“);</w:t>
      </w:r>
    </w:p>
    <w:p w:rsidR="0087236C" w:rsidRDefault="0087236C" w:rsidP="0087236C">
      <w:pPr>
        <w:ind w:firstLine="720"/>
        <w:jc w:val="both"/>
        <w:rPr>
          <w:rFonts w:asciiTheme="majorHAnsi" w:hAnsiTheme="majorHAnsi"/>
        </w:rPr>
      </w:pPr>
      <w:r>
        <w:rPr>
          <w:rFonts w:asciiTheme="majorHAnsi" w:hAnsiTheme="majorHAnsi"/>
        </w:rPr>
        <w:t>- формираните устойчиви житейски стратегии, които предполагат извършване на престъпления или създават криминогенни условия.</w:t>
      </w:r>
      <w:r w:rsidRPr="0087236C">
        <w:rPr>
          <w:rFonts w:asciiTheme="majorHAnsi" w:hAnsiTheme="majorHAnsi" w:cs="Arial"/>
        </w:rPr>
        <w:t xml:space="preserve"> </w:t>
      </w:r>
      <w:r>
        <w:rPr>
          <w:rFonts w:asciiTheme="majorHAnsi" w:hAnsiTheme="majorHAnsi" w:cs="Arial"/>
        </w:rPr>
        <w:t>Липсата на критичност към извършеното е подсилено от средата, в която молителите живеят и която не подкрепя законосъобразно поведение и не санкционира незаконосъобразен начин на живот</w:t>
      </w:r>
      <w:r>
        <w:rPr>
          <w:rFonts w:asciiTheme="majorHAnsi" w:hAnsiTheme="majorHAnsi"/>
        </w:rPr>
        <w:t xml:space="preserve"> (,,начин на живот и обкръжение“); и</w:t>
      </w:r>
    </w:p>
    <w:p w:rsidR="0087236C" w:rsidRDefault="0087236C" w:rsidP="0087236C">
      <w:pPr>
        <w:ind w:firstLine="720"/>
        <w:jc w:val="both"/>
        <w:rPr>
          <w:rFonts w:asciiTheme="majorHAnsi" w:hAnsiTheme="majorHAnsi"/>
        </w:rPr>
      </w:pPr>
      <w:r>
        <w:rPr>
          <w:rFonts w:asciiTheme="majorHAnsi" w:hAnsiTheme="majorHAnsi"/>
        </w:rPr>
        <w:t xml:space="preserve">- дефицити в ценностните нагласи и уменията за мислене, свързани със способността да се преценяват различни житейски ситуации и да се формира адекватна поведенческа реакция към тях (,,начин и умения за мислене. нагласи“). </w:t>
      </w:r>
    </w:p>
    <w:p w:rsidR="004B1140" w:rsidRDefault="00BD62CA" w:rsidP="0087236C">
      <w:pPr>
        <w:ind w:firstLine="720"/>
        <w:jc w:val="both"/>
        <w:rPr>
          <w:rFonts w:asciiTheme="majorHAnsi" w:hAnsiTheme="majorHAnsi"/>
        </w:rPr>
      </w:pPr>
      <w:r w:rsidRPr="003301BC">
        <w:rPr>
          <w:noProof/>
        </w:rPr>
        <mc:AlternateContent>
          <mc:Choice Requires="wps">
            <w:drawing>
              <wp:anchor distT="0" distB="0" distL="114300" distR="114300" simplePos="0" relativeHeight="251671552" behindDoc="0" locked="0" layoutInCell="1" allowOverlap="1" wp14:anchorId="67A139D7" wp14:editId="2F34D362">
                <wp:simplePos x="0" y="0"/>
                <wp:positionH relativeFrom="column">
                  <wp:posOffset>5038725</wp:posOffset>
                </wp:positionH>
                <wp:positionV relativeFrom="paragraph">
                  <wp:posOffset>611315</wp:posOffset>
                </wp:positionV>
                <wp:extent cx="1733550" cy="1938020"/>
                <wp:effectExtent l="0" t="0" r="19050" b="24130"/>
                <wp:wrapNone/>
                <wp:docPr id="11" name="TextBox 1"/>
                <wp:cNvGraphicFramePr/>
                <a:graphic xmlns:a="http://schemas.openxmlformats.org/drawingml/2006/main">
                  <a:graphicData uri="http://schemas.microsoft.com/office/word/2010/wordprocessingShape">
                    <wps:wsp>
                      <wps:cNvSpPr txBox="1"/>
                      <wps:spPr>
                        <a:xfrm>
                          <a:off x="0" y="0"/>
                          <a:ext cx="1733550" cy="1938020"/>
                        </a:xfrm>
                        <a:prstGeom prst="rect">
                          <a:avLst/>
                        </a:prstGeom>
                        <a:ln>
                          <a:solidFill>
                            <a:schemeClr val="accent1"/>
                          </a:solidFill>
                        </a:ln>
                      </wps:spPr>
                      <wps:style>
                        <a:lnRef idx="2">
                          <a:schemeClr val="accent5"/>
                        </a:lnRef>
                        <a:fillRef idx="1">
                          <a:schemeClr val="lt1"/>
                        </a:fillRef>
                        <a:effectRef idx="0">
                          <a:schemeClr val="accent5"/>
                        </a:effectRef>
                        <a:fontRef idx="minor">
                          <a:schemeClr val="dk1"/>
                        </a:fontRef>
                      </wps:style>
                      <wps:txbx>
                        <w:txbxContent>
                          <w:p w:rsidR="00A43F5E" w:rsidRDefault="00A43F5E" w:rsidP="003301BC">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FF0000"/>
                                <w:sz w:val="20"/>
                                <w:szCs w:val="20"/>
                              </w:rPr>
                              <w:t>червено</w:t>
                            </w:r>
                            <w:r>
                              <w:rPr>
                                <w:rFonts w:asciiTheme="majorHAnsi" w:hAnsi="Cambria" w:cstheme="minorBidi"/>
                                <w:color w:val="FF0000"/>
                                <w:sz w:val="20"/>
                                <w:szCs w:val="20"/>
                              </w:rPr>
                              <w:t xml:space="preserve"> </w:t>
                            </w:r>
                            <w:r>
                              <w:rPr>
                                <w:rFonts w:asciiTheme="majorHAnsi" w:hAnsi="Cambria" w:cstheme="minorBidi"/>
                                <w:color w:val="000000" w:themeColor="dark1"/>
                                <w:sz w:val="20"/>
                                <w:szCs w:val="20"/>
                              </w:rPr>
                              <w:t xml:space="preserve">са отбелязани динамичните зони, които могат да се  повлияят от наказанието. Измененията в тях са сред показателите за преценка на корекционните ресурси и резултати на осъдения. </w:t>
                            </w:r>
                          </w:p>
                          <w:p w:rsidR="00A43F5E" w:rsidRDefault="00A43F5E" w:rsidP="003301BC">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548DD4" w:themeColor="text2" w:themeTint="99"/>
                                <w:sz w:val="20"/>
                                <w:szCs w:val="20"/>
                              </w:rPr>
                              <w:t>синьо</w:t>
                            </w:r>
                            <w:r>
                              <w:rPr>
                                <w:rFonts w:asciiTheme="majorHAnsi" w:hAnsi="Cambria" w:cstheme="minorBidi"/>
                                <w:color w:val="548DD4" w:themeColor="text2" w:themeTint="99"/>
                                <w:sz w:val="20"/>
                                <w:szCs w:val="20"/>
                              </w:rPr>
                              <w:t xml:space="preserve"> </w:t>
                            </w:r>
                            <w:r>
                              <w:rPr>
                                <w:rFonts w:asciiTheme="majorHAnsi" w:hAnsi="Cambria" w:cstheme="minorBidi"/>
                                <w:color w:val="000000" w:themeColor="dark1"/>
                                <w:sz w:val="20"/>
                                <w:szCs w:val="20"/>
                              </w:rPr>
                              <w:t>са статичните зони, които наказанието не може да промени.</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7A139D7" id="_x0000_t202" coordsize="21600,21600" o:spt="202" path="m,l,21600r21600,l21600,xe">
                <v:stroke joinstyle="miter"/>
                <v:path gradientshapeok="t" o:connecttype="rect"/>
              </v:shapetype>
              <v:shape id="TextBox 1" o:spid="_x0000_s1026" type="#_x0000_t202" style="position:absolute;left:0;text-align:left;margin-left:396.75pt;margin-top:48.15pt;width:136.5pt;height:1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" fillcolor="white [3201]" strokecolor="#4f81bd [3204]" strokeweight="2pt">
                <v:textbox>
                  <w:txbxContent>
                    <w:p w:rsidR="00A43F5E" w:rsidRDefault="00A43F5E" w:rsidP="003301BC">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FF0000"/>
                          <w:sz w:val="20"/>
                          <w:szCs w:val="20"/>
                        </w:rPr>
                        <w:t>червено</w:t>
                      </w:r>
                      <w:r>
                        <w:rPr>
                          <w:rFonts w:asciiTheme="majorHAnsi" w:hAnsi="Cambria" w:cstheme="minorBidi"/>
                          <w:color w:val="FF0000"/>
                          <w:sz w:val="20"/>
                          <w:szCs w:val="20"/>
                        </w:rPr>
                        <w:t xml:space="preserve"> </w:t>
                      </w:r>
                      <w:r>
                        <w:rPr>
                          <w:rFonts w:asciiTheme="majorHAnsi" w:hAnsi="Cambria" w:cstheme="minorBidi"/>
                          <w:color w:val="000000" w:themeColor="dark1"/>
                          <w:sz w:val="20"/>
                          <w:szCs w:val="20"/>
                        </w:rPr>
                        <w:t xml:space="preserve">са отбелязани динамичните зони, които могат да се  повлияят от наказанието. Измененията в тях са сред показателите за преценка на корекционните ресурси и резултати на осъдения. </w:t>
                      </w:r>
                    </w:p>
                    <w:p w:rsidR="00A43F5E" w:rsidRDefault="00A43F5E" w:rsidP="003301BC">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548DD4" w:themeColor="text2" w:themeTint="99"/>
                          <w:sz w:val="20"/>
                          <w:szCs w:val="20"/>
                        </w:rPr>
                        <w:t>синьо</w:t>
                      </w:r>
                      <w:r>
                        <w:rPr>
                          <w:rFonts w:asciiTheme="majorHAnsi" w:hAnsi="Cambria" w:cstheme="minorBidi"/>
                          <w:color w:val="548DD4" w:themeColor="text2" w:themeTint="99"/>
                          <w:sz w:val="20"/>
                          <w:szCs w:val="20"/>
                        </w:rPr>
                        <w:t xml:space="preserve"> </w:t>
                      </w:r>
                      <w:r>
                        <w:rPr>
                          <w:rFonts w:asciiTheme="majorHAnsi" w:hAnsi="Cambria" w:cstheme="minorBidi"/>
                          <w:color w:val="000000" w:themeColor="dark1"/>
                          <w:sz w:val="20"/>
                          <w:szCs w:val="20"/>
                        </w:rPr>
                        <w:t>са статичните зони, които наказанието не може да промени.</w:t>
                      </w:r>
                    </w:p>
                  </w:txbxContent>
                </v:textbox>
              </v:shape>
            </w:pict>
          </mc:Fallback>
        </mc:AlternateContent>
      </w:r>
      <w:r w:rsidR="004B1140">
        <w:rPr>
          <w:noProof/>
        </w:rPr>
        <w:drawing>
          <wp:anchor distT="0" distB="0" distL="114300" distR="114300" simplePos="0" relativeHeight="251667456" behindDoc="0" locked="0" layoutInCell="1" allowOverlap="1" wp14:anchorId="0E8646C4" wp14:editId="50559608">
            <wp:simplePos x="0" y="0"/>
            <wp:positionH relativeFrom="column">
              <wp:posOffset>-47625</wp:posOffset>
            </wp:positionH>
            <wp:positionV relativeFrom="paragraph">
              <wp:posOffset>184150</wp:posOffset>
            </wp:positionV>
            <wp:extent cx="6753225" cy="2743200"/>
            <wp:effectExtent l="0" t="0" r="0"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004B1140" w:rsidRDefault="004B1140" w:rsidP="0087236C">
      <w:pPr>
        <w:pStyle w:val="ListParagraph"/>
        <w:ind w:left="0" w:firstLine="708"/>
        <w:jc w:val="both"/>
        <w:rPr>
          <w:rFonts w:asciiTheme="majorHAnsi" w:hAnsiTheme="majorHAnsi"/>
        </w:rPr>
      </w:pPr>
    </w:p>
    <w:p w:rsidR="0087236C" w:rsidRDefault="0087236C" w:rsidP="0087236C">
      <w:pPr>
        <w:pStyle w:val="ListParagraph"/>
        <w:ind w:left="0" w:firstLine="708"/>
        <w:jc w:val="both"/>
        <w:rPr>
          <w:rFonts w:asciiTheme="majorHAnsi" w:hAnsiTheme="majorHAnsi" w:cs="Arial"/>
        </w:rPr>
      </w:pPr>
      <w:r>
        <w:rPr>
          <w:rFonts w:asciiTheme="majorHAnsi" w:hAnsiTheme="majorHAnsi"/>
        </w:rPr>
        <w:t xml:space="preserve">Много често дефицитите в тези три зони са съчетани помежду си и обуславят дефицити в зоните на емоционалните фактори, междуличностовото общуване и семейните отношения. Типично тези осъдени се считат несправедливо наказани, като отношението им към наложеното наказание е негодуващо и самосъжалително, а към институциите и обществото – враждебно и неискрено. </w:t>
      </w:r>
      <w:r w:rsidRPr="006960AE">
        <w:rPr>
          <w:rFonts w:asciiTheme="majorHAnsi" w:hAnsiTheme="majorHAnsi"/>
        </w:rPr>
        <w:t xml:space="preserve">Поради типичния за </w:t>
      </w:r>
      <w:r>
        <w:rPr>
          <w:rFonts w:asciiTheme="majorHAnsi" w:hAnsiTheme="majorHAnsi"/>
        </w:rPr>
        <w:t>тези молители</w:t>
      </w:r>
      <w:r w:rsidRPr="006960AE">
        <w:rPr>
          <w:rFonts w:asciiTheme="majorHAnsi" w:hAnsiTheme="majorHAnsi"/>
        </w:rPr>
        <w:t xml:space="preserve"> недостиг на позитивен социален опит и ресурс за социализация поправителният процес в срока на лишаването от свобода е по правило в застой, а когато се развива, той е бавен, колеблив, противоречив и не успява да преодолее стабилизираните криминални стереотипи</w:t>
      </w:r>
      <w:r w:rsidRPr="006960AE">
        <w:rPr>
          <w:rFonts w:asciiTheme="majorHAnsi" w:hAnsiTheme="majorHAnsi" w:cs="Arial"/>
        </w:rPr>
        <w:t xml:space="preserve">. </w:t>
      </w:r>
    </w:p>
    <w:p w:rsidR="0087236C" w:rsidRDefault="0087236C" w:rsidP="0087236C">
      <w:pPr>
        <w:pStyle w:val="ListParagraph"/>
        <w:ind w:left="0" w:firstLine="708"/>
        <w:jc w:val="both"/>
        <w:rPr>
          <w:rFonts w:asciiTheme="majorHAnsi" w:hAnsiTheme="majorHAnsi"/>
        </w:rPr>
      </w:pPr>
      <w:r>
        <w:rPr>
          <w:rFonts w:asciiTheme="majorHAnsi" w:hAnsiTheme="majorHAnsi"/>
        </w:rPr>
        <w:t>В групите с висок и среден към висок риск от рецидив опасността от утежняване или повтаряне на наказателната препресия при извършване на ново престъпление не поражда притеснения или мотивация за промяна в посока към законосъобразно поведение, ако изобщо се осъзнава като неблагоприятен. Липсват и други стимули за водене на различен и позитивен начин на живот, както и усилия за изграждане на трудови навици, повишаване на образованието, преодоляване на зависимости или повишаване на ресурсите за законосъобразно справяне по друг начин. Тези молители са емоционално незрели и поведенчески нестабилни, с ограничени, еднотипни и повърхностни социални контакти и еднообразен, фиксиран върху непосредствените битови потребности начин на живот.</w:t>
      </w:r>
    </w:p>
    <w:p w:rsidR="0087236C" w:rsidRDefault="0087236C" w:rsidP="0087236C">
      <w:pPr>
        <w:ind w:firstLine="720"/>
        <w:jc w:val="both"/>
        <w:rPr>
          <w:rFonts w:asciiTheme="majorHAnsi" w:hAnsiTheme="majorHAnsi"/>
        </w:rPr>
      </w:pPr>
      <w:r>
        <w:rPr>
          <w:rFonts w:asciiTheme="majorHAnsi" w:hAnsiTheme="majorHAnsi"/>
        </w:rPr>
        <w:t>Описаните дефицити пряко се отразяват и на отношението на дееца към образованието, което е мощен фактор се ресоциализация и превенция на рецидива – извършителите със среден и висок риск от рецидив са по правило без образование или нефункципнално образовани (формалната образователна степен не съответства на нивото на интегрирани знания и не се използва от дееца).</w:t>
      </w:r>
    </w:p>
    <w:p w:rsidR="0087236C" w:rsidRPr="0087236C" w:rsidRDefault="0087236C" w:rsidP="0087236C">
      <w:pPr>
        <w:ind w:firstLine="720"/>
        <w:jc w:val="both"/>
        <w:rPr>
          <w:rFonts w:asciiTheme="majorHAnsi" w:hAnsiTheme="majorHAnsi"/>
          <w:noProof/>
          <w:lang w:eastAsia="en-US"/>
        </w:rPr>
      </w:pPr>
      <w:r>
        <w:rPr>
          <w:rFonts w:asciiTheme="majorHAnsi" w:hAnsiTheme="majorHAnsi"/>
        </w:rPr>
        <w:t xml:space="preserve">Както е многократно подчертавано в докладите на КП, налице е </w:t>
      </w:r>
      <w:r w:rsidRPr="00993654">
        <w:rPr>
          <w:rFonts w:asciiTheme="majorHAnsi" w:hAnsiTheme="majorHAnsi"/>
          <w:b/>
        </w:rPr>
        <w:t>зависимост между образователни и трудови дефицити и развитие на модели на престъпно поведение</w:t>
      </w:r>
      <w:r>
        <w:rPr>
          <w:rFonts w:asciiTheme="majorHAnsi" w:hAnsiTheme="majorHAnsi"/>
        </w:rPr>
        <w:t xml:space="preserve">. Ниското образование, функционалната неграмотност и липсата на трудови навици и опит са характерни за молители с устойчив престъпен модел, изграден като житейска стратегия за набавяне на издръжка и справяне с трудности. В тези групи с голямо мнозинство преобладават молителите са със среден и висок риск от рецидив, обусловен от множество дефицити в зоните на динамичните рискови фактори (вж.по-горе). Дефицитите в образованието при тях са директно свързани с формирането на личността в криминогенна референтна среда с ограничени ресурси за законосъобразен начин на живот, вкл. развитие на вредни и </w:t>
      </w:r>
      <w:r w:rsidRPr="0087236C">
        <w:rPr>
          <w:rFonts w:asciiTheme="majorHAnsi" w:hAnsiTheme="majorHAnsi"/>
        </w:rPr>
        <w:t>асоциални навици (алкохолна зависимост), неумение за законосъобразно придобиване и управление на издръжка, липса на образователни интереси и мотивация за лично развитие, отсъствие на пълноценни приятелства и семейни връзки.</w:t>
      </w:r>
      <w:r w:rsidRPr="0087236C">
        <w:rPr>
          <w:rFonts w:asciiTheme="majorHAnsi" w:hAnsiTheme="majorHAnsi"/>
          <w:noProof/>
          <w:lang w:val="en-US" w:eastAsia="en-US"/>
        </w:rPr>
        <w:t xml:space="preserve"> </w:t>
      </w:r>
    </w:p>
    <w:p w:rsidR="006960AE" w:rsidRDefault="005B4EB5" w:rsidP="00726CF7">
      <w:pPr>
        <w:pStyle w:val="ListParagraph"/>
        <w:ind w:left="0" w:firstLine="708"/>
        <w:jc w:val="both"/>
        <w:rPr>
          <w:rFonts w:asciiTheme="majorHAnsi" w:hAnsiTheme="majorHAnsi" w:cs="Arial"/>
        </w:rPr>
      </w:pPr>
      <w:r>
        <w:rPr>
          <w:rFonts w:asciiTheme="majorHAnsi" w:hAnsiTheme="majorHAnsi" w:cs="Arial"/>
        </w:rPr>
        <w:t>Описаните</w:t>
      </w:r>
      <w:r w:rsidR="00AA13A7">
        <w:rPr>
          <w:rFonts w:asciiTheme="majorHAnsi" w:hAnsiTheme="majorHAnsi" w:cs="Arial"/>
        </w:rPr>
        <w:t xml:space="preserve"> дефицити очертават профил на </w:t>
      </w:r>
      <w:r w:rsidR="00AA13A7" w:rsidRPr="00F70525">
        <w:rPr>
          <w:rFonts w:asciiTheme="majorHAnsi" w:hAnsiTheme="majorHAnsi" w:cs="Arial"/>
          <w:b/>
        </w:rPr>
        <w:t>лица, които не преживяват извършеното от тях като укоримо, счит</w:t>
      </w:r>
      <w:r w:rsidR="00AA13A7">
        <w:rPr>
          <w:rFonts w:asciiTheme="majorHAnsi" w:hAnsiTheme="majorHAnsi" w:cs="Arial"/>
          <w:b/>
        </w:rPr>
        <w:t>ат се за жертва на несправедливо и злонамерено правосъдие</w:t>
      </w:r>
      <w:r w:rsidR="00AA13A7">
        <w:rPr>
          <w:rFonts w:asciiTheme="majorHAnsi" w:hAnsiTheme="majorHAnsi" w:cs="Arial"/>
        </w:rPr>
        <w:t xml:space="preserve"> и нямат мотивация и нагласи да преосмислят и променят поведенческите си стереотипи в посока да решават житейските си предизвикателства по непрестъпен начин.</w:t>
      </w:r>
    </w:p>
    <w:p w:rsidR="005B4EB5" w:rsidRDefault="005B4EB5" w:rsidP="00726CF7">
      <w:pPr>
        <w:pStyle w:val="ListParagraph"/>
        <w:ind w:left="0" w:firstLine="708"/>
        <w:jc w:val="both"/>
        <w:rPr>
          <w:rFonts w:asciiTheme="majorHAnsi" w:hAnsiTheme="majorHAnsi"/>
        </w:rPr>
      </w:pPr>
      <w:r w:rsidRPr="006960AE">
        <w:rPr>
          <w:rFonts w:asciiTheme="majorHAnsi" w:hAnsiTheme="majorHAnsi" w:cs="Arial"/>
        </w:rPr>
        <w:t>Видно от криминалното им минало и поведението им в затвора тези осъдени не се повлияват от наказателна репресия.</w:t>
      </w:r>
      <w:r w:rsidRPr="006960AE">
        <w:rPr>
          <w:rFonts w:asciiTheme="majorHAnsi" w:hAnsiTheme="majorHAnsi"/>
        </w:rPr>
        <w:t xml:space="preserve"> </w:t>
      </w:r>
      <w:r>
        <w:rPr>
          <w:rFonts w:asciiTheme="majorHAnsi" w:hAnsiTheme="majorHAnsi"/>
        </w:rPr>
        <w:t>Повечето от тях не се плашат от перспективата да бъдат периодично затваряни в места за лишаване от свобода, където те получават здравни и социални грижи, вкл. прехрана, подслон, лично внимание, социални контакти, възможност за полагане на труд, достъп до образование и квалфикация, като социалната среда им е позната и я преживяват като приятелска.</w:t>
      </w:r>
      <w:r w:rsidRPr="005B4EB5">
        <w:rPr>
          <w:rFonts w:asciiTheme="majorHAnsi" w:hAnsiTheme="majorHAnsi" w:cs="Arial"/>
        </w:rPr>
        <w:t xml:space="preserve"> </w:t>
      </w:r>
      <w:r>
        <w:rPr>
          <w:rFonts w:asciiTheme="majorHAnsi" w:hAnsiTheme="majorHAnsi"/>
        </w:rPr>
        <w:t>Наказанието има само превантивен ефект, доколкото ограничава възможността им да рецидивират в срока на изтърпяването му.</w:t>
      </w:r>
    </w:p>
    <w:p w:rsidR="0087236C" w:rsidRDefault="00BD62CA" w:rsidP="0087236C">
      <w:pPr>
        <w:ind w:firstLine="720"/>
        <w:jc w:val="both"/>
        <w:rPr>
          <w:rFonts w:asciiTheme="majorHAnsi" w:hAnsiTheme="majorHAnsi"/>
        </w:rPr>
      </w:pPr>
      <w:r>
        <w:rPr>
          <w:rFonts w:asciiTheme="majorHAnsi" w:hAnsiTheme="majorHAnsi"/>
        </w:rPr>
        <w:t>През отчетния период за първи път относително голяма е групата на</w:t>
      </w:r>
      <w:r w:rsidR="0087236C" w:rsidRPr="0087236C">
        <w:rPr>
          <w:rFonts w:asciiTheme="majorHAnsi" w:hAnsiTheme="majorHAnsi"/>
        </w:rPr>
        <w:t xml:space="preserve"> </w:t>
      </w:r>
      <w:r w:rsidR="0087236C" w:rsidRPr="0087236C">
        <w:rPr>
          <w:rFonts w:asciiTheme="majorHAnsi" w:hAnsiTheme="majorHAnsi"/>
          <w:b/>
        </w:rPr>
        <w:t>молителите с нисък риск</w:t>
      </w:r>
      <w:r>
        <w:rPr>
          <w:rFonts w:asciiTheme="majorHAnsi" w:hAnsiTheme="majorHAnsi"/>
        </w:rPr>
        <w:t xml:space="preserve"> (23</w:t>
      </w:r>
      <w:r w:rsidR="0087236C" w:rsidRPr="0087236C">
        <w:rPr>
          <w:rFonts w:asciiTheme="majorHAnsi" w:hAnsiTheme="majorHAnsi"/>
        </w:rPr>
        <w:t xml:space="preserve"> %). Най-често </w:t>
      </w:r>
      <w:r w:rsidR="007717FF">
        <w:rPr>
          <w:rFonts w:asciiTheme="majorHAnsi" w:hAnsiTheme="majorHAnsi"/>
        </w:rPr>
        <w:t xml:space="preserve">тези </w:t>
      </w:r>
      <w:r w:rsidR="0087236C" w:rsidRPr="0087236C">
        <w:rPr>
          <w:rFonts w:asciiTheme="majorHAnsi" w:hAnsiTheme="majorHAnsi"/>
        </w:rPr>
        <w:t>осъдени</w:t>
      </w:r>
      <w:r w:rsidR="007717FF">
        <w:rPr>
          <w:rFonts w:asciiTheme="majorHAnsi" w:hAnsiTheme="majorHAnsi"/>
        </w:rPr>
        <w:t xml:space="preserve"> са</w:t>
      </w:r>
      <w:r w:rsidR="0087236C" w:rsidRPr="0087236C">
        <w:rPr>
          <w:rFonts w:asciiTheme="majorHAnsi" w:hAnsiTheme="majorHAnsi"/>
        </w:rPr>
        <w:t xml:space="preserve"> показва</w:t>
      </w:r>
      <w:r w:rsidR="007717FF">
        <w:rPr>
          <w:rFonts w:asciiTheme="majorHAnsi" w:hAnsiTheme="majorHAnsi"/>
        </w:rPr>
        <w:t>ли</w:t>
      </w:r>
      <w:r w:rsidR="0087236C" w:rsidRPr="0087236C">
        <w:rPr>
          <w:rFonts w:asciiTheme="majorHAnsi" w:hAnsiTheme="majorHAnsi"/>
        </w:rPr>
        <w:t xml:space="preserve"> нисък риск още </w:t>
      </w:r>
      <w:r w:rsidR="007717FF">
        <w:rPr>
          <w:rFonts w:asciiTheme="majorHAnsi" w:hAnsiTheme="majorHAnsi"/>
        </w:rPr>
        <w:t>с</w:t>
      </w:r>
      <w:r w:rsidR="0087236C" w:rsidRPr="0087236C">
        <w:rPr>
          <w:rFonts w:asciiTheme="majorHAnsi" w:hAnsiTheme="majorHAnsi"/>
        </w:rPr>
        <w:t xml:space="preserve"> постъпването си в затвора. </w:t>
      </w:r>
      <w:r w:rsidR="007717FF">
        <w:rPr>
          <w:rFonts w:asciiTheme="majorHAnsi" w:hAnsiTheme="majorHAnsi"/>
        </w:rPr>
        <w:t>В о</w:t>
      </w:r>
      <w:r w:rsidR="0087236C" w:rsidRPr="0087236C">
        <w:rPr>
          <w:rFonts w:asciiTheme="majorHAnsi" w:hAnsiTheme="majorHAnsi"/>
        </w:rPr>
        <w:t>тделни</w:t>
      </w:r>
      <w:r w:rsidR="0087236C">
        <w:rPr>
          <w:rFonts w:asciiTheme="majorHAnsi" w:hAnsiTheme="majorHAnsi"/>
        </w:rPr>
        <w:t xml:space="preserve"> случаи ниските стойности са обусловени от по-напреднал корекционен процес в последните етапи от наказанието, който обаче не разкрива признаци на изключителност, за да бъде обсъждан като единствено основание за помилване.</w:t>
      </w:r>
    </w:p>
    <w:p w:rsidR="007717FF" w:rsidRDefault="007717FF" w:rsidP="00726CF7">
      <w:pPr>
        <w:ind w:firstLine="720"/>
        <w:jc w:val="both"/>
        <w:rPr>
          <w:rFonts w:asciiTheme="majorHAnsi" w:hAnsiTheme="majorHAnsi"/>
        </w:rPr>
      </w:pPr>
    </w:p>
    <w:p w:rsidR="00B95AFF" w:rsidRPr="00363A86" w:rsidRDefault="00B95AFF" w:rsidP="00B95AFF">
      <w:pPr>
        <w:pStyle w:val="ListParagraph"/>
        <w:ind w:left="0" w:firstLine="708"/>
        <w:jc w:val="both"/>
        <w:rPr>
          <w:rFonts w:asciiTheme="majorHAnsi" w:hAnsiTheme="majorHAnsi"/>
          <w:b/>
        </w:rPr>
      </w:pPr>
      <w:r>
        <w:rPr>
          <w:rFonts w:asciiTheme="majorHAnsi" w:hAnsiTheme="majorHAnsi"/>
          <w:b/>
        </w:rPr>
        <w:t>2.2.</w:t>
      </w:r>
      <w:r w:rsidR="00AF7962">
        <w:rPr>
          <w:rFonts w:asciiTheme="majorHAnsi" w:hAnsiTheme="majorHAnsi"/>
          <w:b/>
        </w:rPr>
        <w:t>3</w:t>
      </w:r>
      <w:r>
        <w:rPr>
          <w:rFonts w:asciiTheme="majorHAnsi" w:hAnsiTheme="majorHAnsi"/>
          <w:b/>
        </w:rPr>
        <w:t xml:space="preserve">. </w:t>
      </w:r>
      <w:r w:rsidRPr="00363A86">
        <w:rPr>
          <w:rFonts w:asciiTheme="majorHAnsi" w:hAnsiTheme="majorHAnsi"/>
          <w:b/>
        </w:rPr>
        <w:t>Местоизтърпяване</w:t>
      </w:r>
    </w:p>
    <w:p w:rsidR="00B95AFF" w:rsidRPr="006A130B" w:rsidRDefault="004B1140" w:rsidP="00B95AFF">
      <w:pPr>
        <w:pStyle w:val="ListParagraph"/>
        <w:ind w:left="0" w:firstLine="708"/>
        <w:jc w:val="both"/>
        <w:rPr>
          <w:rFonts w:asciiTheme="majorHAnsi" w:hAnsiTheme="majorHAnsi"/>
        </w:rPr>
      </w:pPr>
      <w:r>
        <w:rPr>
          <w:noProof/>
        </w:rPr>
        <w:drawing>
          <wp:anchor distT="0" distB="0" distL="114300" distR="114300" simplePos="0" relativeHeight="251674624" behindDoc="0" locked="0" layoutInCell="1" allowOverlap="1" wp14:anchorId="3F216B2E" wp14:editId="00198BCC">
            <wp:simplePos x="0" y="0"/>
            <wp:positionH relativeFrom="column">
              <wp:posOffset>0</wp:posOffset>
            </wp:positionH>
            <wp:positionV relativeFrom="paragraph">
              <wp:posOffset>276225</wp:posOffset>
            </wp:positionV>
            <wp:extent cx="3829050" cy="2838450"/>
            <wp:effectExtent l="0" t="0" r="19050" b="19050"/>
            <wp:wrapThrough wrapText="bothSides">
              <wp:wrapPolygon edited="0">
                <wp:start x="0" y="0"/>
                <wp:lineTo x="0" y="21600"/>
                <wp:lineTo x="21600" y="21600"/>
                <wp:lineTo x="21600" y="0"/>
                <wp:lineTo x="0" y="0"/>
              </wp:wrapPolygon>
            </wp:wrapThrough>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395710">
        <w:rPr>
          <w:rFonts w:asciiTheme="majorHAnsi" w:hAnsiTheme="majorHAnsi"/>
        </w:rPr>
        <w:t xml:space="preserve">От </w:t>
      </w:r>
      <w:r w:rsidR="003A2E06">
        <w:rPr>
          <w:rFonts w:asciiTheme="majorHAnsi" w:hAnsiTheme="majorHAnsi"/>
        </w:rPr>
        <w:t>65</w:t>
      </w:r>
      <w:r w:rsidR="00B95AFF">
        <w:rPr>
          <w:rFonts w:asciiTheme="majorHAnsi" w:hAnsiTheme="majorHAnsi"/>
        </w:rPr>
        <w:t xml:space="preserve"> осъдени молители </w:t>
      </w:r>
      <w:r>
        <w:rPr>
          <w:rFonts w:asciiTheme="majorHAnsi" w:hAnsiTheme="majorHAnsi"/>
        </w:rPr>
        <w:t>5</w:t>
      </w:r>
      <w:r w:rsidR="00395710">
        <w:rPr>
          <w:rFonts w:asciiTheme="majorHAnsi" w:hAnsiTheme="majorHAnsi"/>
        </w:rPr>
        <w:t xml:space="preserve"> </w:t>
      </w:r>
      <w:r w:rsidR="00B95AFF">
        <w:rPr>
          <w:rFonts w:asciiTheme="majorHAnsi" w:hAnsiTheme="majorHAnsi"/>
        </w:rPr>
        <w:t xml:space="preserve">не изтърпяват наказанието си в </w:t>
      </w:r>
      <w:r w:rsidR="00395710">
        <w:rPr>
          <w:rFonts w:asciiTheme="majorHAnsi" w:hAnsiTheme="majorHAnsi"/>
        </w:rPr>
        <w:t>затвор</w:t>
      </w:r>
      <w:r w:rsidR="00B95AFF">
        <w:rPr>
          <w:rFonts w:asciiTheme="majorHAnsi" w:hAnsiTheme="majorHAnsi"/>
        </w:rPr>
        <w:t>, тъй като не са осъдени на ефективно лишаване от свобода</w:t>
      </w:r>
      <w:r w:rsidR="00B21961">
        <w:rPr>
          <w:rFonts w:asciiTheme="majorHAnsi" w:hAnsiTheme="majorHAnsi"/>
        </w:rPr>
        <w:t>,</w:t>
      </w:r>
      <w:r w:rsidR="00B95AFF" w:rsidRPr="006A130B">
        <w:rPr>
          <w:rFonts w:asciiTheme="majorHAnsi" w:hAnsiTheme="majorHAnsi"/>
        </w:rPr>
        <w:t xml:space="preserve"> укриват</w:t>
      </w:r>
      <w:r w:rsidR="00B21961">
        <w:rPr>
          <w:rFonts w:asciiTheme="majorHAnsi" w:hAnsiTheme="majorHAnsi"/>
        </w:rPr>
        <w:t xml:space="preserve"> се</w:t>
      </w:r>
      <w:r>
        <w:rPr>
          <w:rFonts w:asciiTheme="majorHAnsi" w:hAnsiTheme="majorHAnsi"/>
        </w:rPr>
        <w:t>,</w:t>
      </w:r>
      <w:r w:rsidR="00B21961">
        <w:rPr>
          <w:rFonts w:asciiTheme="majorHAnsi" w:hAnsiTheme="majorHAnsi"/>
        </w:rPr>
        <w:t xml:space="preserve"> </w:t>
      </w:r>
      <w:r w:rsidR="0095405E">
        <w:rPr>
          <w:rFonts w:asciiTheme="majorHAnsi" w:hAnsiTheme="majorHAnsi"/>
        </w:rPr>
        <w:t xml:space="preserve">изпълнението на </w:t>
      </w:r>
      <w:r w:rsidR="00B21961">
        <w:rPr>
          <w:rFonts w:asciiTheme="majorHAnsi" w:hAnsiTheme="majorHAnsi"/>
        </w:rPr>
        <w:t>пр</w:t>
      </w:r>
      <w:r w:rsidR="0095405E">
        <w:rPr>
          <w:rFonts w:asciiTheme="majorHAnsi" w:hAnsiTheme="majorHAnsi"/>
        </w:rPr>
        <w:t>и</w:t>
      </w:r>
      <w:r w:rsidR="00B21961">
        <w:rPr>
          <w:rFonts w:asciiTheme="majorHAnsi" w:hAnsiTheme="majorHAnsi"/>
        </w:rPr>
        <w:t xml:space="preserve">съдата е </w:t>
      </w:r>
      <w:r w:rsidR="0095405E">
        <w:rPr>
          <w:rFonts w:asciiTheme="majorHAnsi" w:hAnsiTheme="majorHAnsi"/>
        </w:rPr>
        <w:t>отложено от прокуратурата</w:t>
      </w:r>
      <w:r>
        <w:rPr>
          <w:rFonts w:asciiTheme="majorHAnsi" w:hAnsiTheme="majorHAnsi"/>
        </w:rPr>
        <w:t xml:space="preserve"> или присъдата е влязла в сила наскоро и осъденият очаква привеждането ѝ в изпълнение</w:t>
      </w:r>
      <w:r w:rsidR="00B95AFF" w:rsidRPr="006A130B">
        <w:rPr>
          <w:rFonts w:asciiTheme="majorHAnsi" w:hAnsiTheme="majorHAnsi"/>
        </w:rPr>
        <w:t>.</w:t>
      </w:r>
    </w:p>
    <w:p w:rsidR="00B95AFF" w:rsidRDefault="00B95AFF" w:rsidP="00B95AFF">
      <w:pPr>
        <w:pStyle w:val="ListParagraph"/>
        <w:ind w:left="0" w:firstLine="708"/>
        <w:jc w:val="both"/>
        <w:rPr>
          <w:rFonts w:asciiTheme="majorHAnsi" w:hAnsiTheme="majorHAnsi"/>
        </w:rPr>
      </w:pPr>
      <w:r w:rsidRPr="006A130B">
        <w:rPr>
          <w:rFonts w:asciiTheme="majorHAnsi" w:hAnsiTheme="majorHAnsi"/>
        </w:rPr>
        <w:t xml:space="preserve">През </w:t>
      </w:r>
      <w:r w:rsidR="0095405E">
        <w:rPr>
          <w:rFonts w:asciiTheme="majorHAnsi" w:hAnsiTheme="majorHAnsi"/>
        </w:rPr>
        <w:t>отчетния период</w:t>
      </w:r>
      <w:r w:rsidRPr="006A130B">
        <w:rPr>
          <w:rFonts w:asciiTheme="majorHAnsi" w:hAnsiTheme="majorHAnsi"/>
        </w:rPr>
        <w:t xml:space="preserve"> най-много молби са разгледани за осъдени, </w:t>
      </w:r>
      <w:r w:rsidRPr="00363A86">
        <w:rPr>
          <w:rFonts w:asciiTheme="majorHAnsi" w:hAnsiTheme="majorHAnsi"/>
          <w:b/>
        </w:rPr>
        <w:t>изтърпяващи наказание в затвора в София</w:t>
      </w:r>
      <w:r w:rsidRPr="006A130B">
        <w:rPr>
          <w:rFonts w:asciiTheme="majorHAnsi" w:hAnsiTheme="majorHAnsi"/>
        </w:rPr>
        <w:t>,</w:t>
      </w:r>
      <w:r w:rsidR="0095405E">
        <w:rPr>
          <w:rFonts w:asciiTheme="majorHAnsi" w:hAnsiTheme="majorHAnsi"/>
        </w:rPr>
        <w:t xml:space="preserve"> следвани от затворите в Ловеч</w:t>
      </w:r>
      <w:r w:rsidR="004B1140">
        <w:rPr>
          <w:rFonts w:asciiTheme="majorHAnsi" w:hAnsiTheme="majorHAnsi"/>
        </w:rPr>
        <w:t>, Плевен</w:t>
      </w:r>
      <w:r w:rsidR="0095405E">
        <w:rPr>
          <w:rFonts w:asciiTheme="majorHAnsi" w:hAnsiTheme="majorHAnsi"/>
        </w:rPr>
        <w:t xml:space="preserve"> и Белене</w:t>
      </w:r>
      <w:r w:rsidR="00305696">
        <w:rPr>
          <w:rFonts w:asciiTheme="majorHAnsi" w:hAnsiTheme="majorHAnsi"/>
        </w:rPr>
        <w:t>.</w:t>
      </w:r>
      <w:r w:rsidR="004B1140">
        <w:rPr>
          <w:rFonts w:asciiTheme="majorHAnsi" w:hAnsiTheme="majorHAnsi"/>
        </w:rPr>
        <w:t xml:space="preserve"> </w:t>
      </w:r>
      <w:r w:rsidRPr="006A130B">
        <w:rPr>
          <w:rFonts w:asciiTheme="majorHAnsi" w:hAnsiTheme="majorHAnsi"/>
        </w:rPr>
        <w:t>Продължават да са необичайно малко с тенденция да намаляват разгледаните молби на затворници от големите затвори във Варна и Бургас</w:t>
      </w:r>
      <w:r w:rsidR="00305696">
        <w:rPr>
          <w:rFonts w:asciiTheme="majorHAnsi" w:hAnsiTheme="majorHAnsi"/>
        </w:rPr>
        <w:t>.</w:t>
      </w:r>
    </w:p>
    <w:p w:rsidR="00D3368B" w:rsidRDefault="00D3368B" w:rsidP="00726CF7">
      <w:pPr>
        <w:ind w:firstLine="720"/>
        <w:jc w:val="both"/>
        <w:rPr>
          <w:rFonts w:asciiTheme="majorHAnsi" w:hAnsiTheme="majorHAnsi"/>
          <w:b/>
        </w:rPr>
      </w:pPr>
    </w:p>
    <w:p w:rsidR="00726CF7" w:rsidRPr="006E5707" w:rsidRDefault="00726CF7" w:rsidP="00726CF7">
      <w:pPr>
        <w:ind w:firstLine="720"/>
        <w:jc w:val="both"/>
        <w:rPr>
          <w:rFonts w:asciiTheme="majorHAnsi" w:hAnsiTheme="majorHAnsi"/>
          <w:b/>
        </w:rPr>
      </w:pPr>
      <w:r w:rsidRPr="006E5707">
        <w:rPr>
          <w:rFonts w:asciiTheme="majorHAnsi" w:hAnsiTheme="majorHAnsi"/>
          <w:b/>
        </w:rPr>
        <w:t>2.2.4. Изтърпявани наказания</w:t>
      </w:r>
    </w:p>
    <w:p w:rsidR="00726CF7" w:rsidRPr="00597832" w:rsidRDefault="00E73406" w:rsidP="00726CF7">
      <w:pPr>
        <w:ind w:firstLine="720"/>
        <w:jc w:val="both"/>
        <w:rPr>
          <w:rFonts w:asciiTheme="majorHAnsi" w:hAnsiTheme="majorHAnsi"/>
        </w:rPr>
      </w:pPr>
      <w:r>
        <w:rPr>
          <w:noProof/>
        </w:rPr>
        <w:drawing>
          <wp:anchor distT="0" distB="0" distL="114300" distR="114300" simplePos="0" relativeHeight="251678720" behindDoc="0" locked="0" layoutInCell="1" allowOverlap="1" wp14:anchorId="3FCDC2DC" wp14:editId="53B938BA">
            <wp:simplePos x="0" y="0"/>
            <wp:positionH relativeFrom="column">
              <wp:posOffset>0</wp:posOffset>
            </wp:positionH>
            <wp:positionV relativeFrom="paragraph">
              <wp:posOffset>664845</wp:posOffset>
            </wp:positionV>
            <wp:extent cx="3800475" cy="2157413"/>
            <wp:effectExtent l="0" t="0" r="9525" b="14605"/>
            <wp:wrapThrough wrapText="bothSides">
              <wp:wrapPolygon edited="0">
                <wp:start x="0" y="0"/>
                <wp:lineTo x="0" y="21555"/>
                <wp:lineTo x="21546" y="21555"/>
                <wp:lineTo x="21546"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726CF7" w:rsidRPr="00597832">
        <w:rPr>
          <w:rFonts w:asciiTheme="majorHAnsi" w:hAnsiTheme="majorHAnsi"/>
        </w:rPr>
        <w:t xml:space="preserve">От осъдените молители </w:t>
      </w:r>
      <w:r w:rsidR="00726CF7">
        <w:rPr>
          <w:rFonts w:asciiTheme="majorHAnsi" w:hAnsiTheme="majorHAnsi"/>
        </w:rPr>
        <w:t xml:space="preserve">най-много </w:t>
      </w:r>
      <w:r w:rsidR="003A2E06">
        <w:rPr>
          <w:rFonts w:asciiTheme="majorHAnsi" w:hAnsiTheme="majorHAnsi"/>
        </w:rPr>
        <w:t xml:space="preserve">са наказани с </w:t>
      </w:r>
      <w:r w:rsidR="00726CF7">
        <w:rPr>
          <w:rFonts w:asciiTheme="majorHAnsi" w:hAnsiTheme="majorHAnsi"/>
        </w:rPr>
        <w:t>лишаване от свобода за срок до 10 години</w:t>
      </w:r>
      <w:r w:rsidR="003A2E06">
        <w:rPr>
          <w:rFonts w:asciiTheme="majorHAnsi" w:hAnsiTheme="majorHAnsi"/>
        </w:rPr>
        <w:t xml:space="preserve"> (45</w:t>
      </w:r>
      <w:r w:rsidR="001D2FA5">
        <w:rPr>
          <w:rFonts w:asciiTheme="majorHAnsi" w:hAnsiTheme="majorHAnsi"/>
        </w:rPr>
        <w:t>)</w:t>
      </w:r>
      <w:r w:rsidR="00726CF7" w:rsidRPr="00597832">
        <w:rPr>
          <w:rFonts w:asciiTheme="majorHAnsi" w:hAnsiTheme="majorHAnsi"/>
        </w:rPr>
        <w:t>.</w:t>
      </w:r>
      <w:r w:rsidR="00726CF7">
        <w:rPr>
          <w:rFonts w:asciiTheme="majorHAnsi" w:hAnsiTheme="majorHAnsi"/>
        </w:rPr>
        <w:t xml:space="preserve"> </w:t>
      </w:r>
      <w:r w:rsidR="00BD4DC3">
        <w:rPr>
          <w:rFonts w:asciiTheme="majorHAnsi" w:hAnsiTheme="majorHAnsi"/>
        </w:rPr>
        <w:t xml:space="preserve">Два пъти по-малко са осъдените на лишаване от свобода за срок между 11 и 19 години. Относително </w:t>
      </w:r>
      <w:r w:rsidR="001D2FA5">
        <w:rPr>
          <w:rFonts w:asciiTheme="majorHAnsi" w:hAnsiTheme="majorHAnsi"/>
        </w:rPr>
        <w:t>нисък</w:t>
      </w:r>
      <w:r w:rsidR="00BD4DC3">
        <w:rPr>
          <w:rFonts w:asciiTheme="majorHAnsi" w:hAnsiTheme="majorHAnsi"/>
        </w:rPr>
        <w:t xml:space="preserve"> е </w:t>
      </w:r>
      <w:r w:rsidR="00726CF7">
        <w:rPr>
          <w:rFonts w:asciiTheme="majorHAnsi" w:hAnsiTheme="majorHAnsi"/>
        </w:rPr>
        <w:t xml:space="preserve">делът на </w:t>
      </w:r>
      <w:r w:rsidR="00BD4DC3">
        <w:rPr>
          <w:rFonts w:asciiTheme="majorHAnsi" w:hAnsiTheme="majorHAnsi"/>
        </w:rPr>
        <w:t>молителите, осъдени</w:t>
      </w:r>
      <w:r w:rsidR="00726CF7">
        <w:rPr>
          <w:rFonts w:asciiTheme="majorHAnsi" w:hAnsiTheme="majorHAnsi"/>
        </w:rPr>
        <w:t xml:space="preserve"> на </w:t>
      </w:r>
      <w:r w:rsidR="00726CF7" w:rsidRPr="00395710">
        <w:rPr>
          <w:rFonts w:asciiTheme="majorHAnsi" w:hAnsiTheme="majorHAnsi"/>
          <w:b/>
        </w:rPr>
        <w:t>най-тежките наказания</w:t>
      </w:r>
      <w:r w:rsidR="001D2FA5">
        <w:rPr>
          <w:rFonts w:asciiTheme="majorHAnsi" w:hAnsiTheme="majorHAnsi"/>
          <w:b/>
        </w:rPr>
        <w:t>.</w:t>
      </w:r>
      <w:r w:rsidR="00726CF7">
        <w:rPr>
          <w:rFonts w:asciiTheme="majorHAnsi" w:hAnsiTheme="majorHAnsi"/>
        </w:rPr>
        <w:t xml:space="preserve"> </w:t>
      </w:r>
      <w:r w:rsidR="001D2FA5">
        <w:rPr>
          <w:rFonts w:asciiTheme="majorHAnsi" w:hAnsiTheme="majorHAnsi"/>
        </w:rPr>
        <w:t>През отчетния период не е разглеждана молба от осъден на доживотен затвор и е разгледана само една от осъден на доживотен затвор без замяна</w:t>
      </w:r>
      <w:r w:rsidR="00726CF7">
        <w:rPr>
          <w:rFonts w:asciiTheme="majorHAnsi" w:hAnsiTheme="majorHAnsi"/>
        </w:rPr>
        <w:t>.</w:t>
      </w:r>
      <w:r w:rsidR="001D2FA5">
        <w:rPr>
          <w:rFonts w:asciiTheme="majorHAnsi" w:hAnsiTheme="majorHAnsi"/>
        </w:rPr>
        <w:t xml:space="preserve"> Трябва да се отбележи, че много извършители на изключително тежки престъпления, които в миналото са били наказвани с едно от двете най-тежки наказания, след 2010 г. получават по-леки наказания, ако процесът е протекъл по реда на съкратеното съдебно следствие. Тази група молители изтърпява срочно лишаване от свобода над 20 години.</w:t>
      </w:r>
    </w:p>
    <w:p w:rsidR="005B6870" w:rsidRDefault="00726CF7" w:rsidP="00726CF7">
      <w:pPr>
        <w:shd w:val="clear" w:color="auto" w:fill="FFFFFF" w:themeFill="background1"/>
        <w:ind w:firstLine="720"/>
        <w:jc w:val="both"/>
        <w:rPr>
          <w:rFonts w:asciiTheme="majorHAnsi" w:hAnsiTheme="majorHAnsi"/>
        </w:rPr>
      </w:pPr>
      <w:r w:rsidRPr="00597832">
        <w:rPr>
          <w:rFonts w:asciiTheme="majorHAnsi" w:hAnsiTheme="majorHAnsi"/>
        </w:rPr>
        <w:t>Допълнителн</w:t>
      </w:r>
      <w:r w:rsidR="005B6870">
        <w:rPr>
          <w:rFonts w:asciiTheme="majorHAnsi" w:hAnsiTheme="majorHAnsi"/>
        </w:rPr>
        <w:t>ото</w:t>
      </w:r>
      <w:r w:rsidRPr="00597832">
        <w:rPr>
          <w:rFonts w:asciiTheme="majorHAnsi" w:hAnsiTheme="majorHAnsi"/>
        </w:rPr>
        <w:t xml:space="preserve"> наказани</w:t>
      </w:r>
      <w:r w:rsidR="005B6870">
        <w:rPr>
          <w:rFonts w:asciiTheme="majorHAnsi" w:hAnsiTheme="majorHAnsi"/>
        </w:rPr>
        <w:t>е</w:t>
      </w:r>
      <w:r w:rsidRPr="00597832">
        <w:rPr>
          <w:rFonts w:asciiTheme="majorHAnsi" w:hAnsiTheme="majorHAnsi"/>
        </w:rPr>
        <w:t xml:space="preserve"> </w:t>
      </w:r>
      <w:r w:rsidR="00D3368B">
        <w:rPr>
          <w:rFonts w:asciiTheme="majorHAnsi" w:hAnsiTheme="majorHAnsi"/>
          <w:b/>
        </w:rPr>
        <w:t xml:space="preserve">глоба </w:t>
      </w:r>
      <w:r w:rsidR="005B6870" w:rsidRPr="005B6870">
        <w:rPr>
          <w:rFonts w:asciiTheme="majorHAnsi" w:hAnsiTheme="majorHAnsi"/>
        </w:rPr>
        <w:t xml:space="preserve">е </w:t>
      </w:r>
      <w:r w:rsidR="00D3368B">
        <w:rPr>
          <w:rFonts w:asciiTheme="majorHAnsi" w:hAnsiTheme="majorHAnsi"/>
        </w:rPr>
        <w:t>наложен</w:t>
      </w:r>
      <w:r w:rsidR="005B6870">
        <w:rPr>
          <w:rFonts w:asciiTheme="majorHAnsi" w:hAnsiTheme="majorHAnsi"/>
        </w:rPr>
        <w:t>о</w:t>
      </w:r>
      <w:r w:rsidR="00D3368B">
        <w:rPr>
          <w:rFonts w:asciiTheme="majorHAnsi" w:hAnsiTheme="majorHAnsi"/>
        </w:rPr>
        <w:t xml:space="preserve"> на </w:t>
      </w:r>
      <w:r w:rsidR="005B6870">
        <w:rPr>
          <w:rFonts w:asciiTheme="majorHAnsi" w:hAnsiTheme="majorHAnsi"/>
        </w:rPr>
        <w:t>4</w:t>
      </w:r>
      <w:r w:rsidR="00D3368B">
        <w:rPr>
          <w:rFonts w:asciiTheme="majorHAnsi" w:hAnsiTheme="majorHAnsi"/>
        </w:rPr>
        <w:t xml:space="preserve"> осъден</w:t>
      </w:r>
      <w:r w:rsidR="005B6870">
        <w:rPr>
          <w:rFonts w:asciiTheme="majorHAnsi" w:hAnsiTheme="majorHAnsi"/>
        </w:rPr>
        <w:t>и</w:t>
      </w:r>
      <w:r w:rsidR="003A2E06">
        <w:rPr>
          <w:rFonts w:asciiTheme="majorHAnsi" w:hAnsiTheme="majorHAnsi"/>
        </w:rPr>
        <w:t>, но молбата за помилване се отнася</w:t>
      </w:r>
      <w:r w:rsidR="00D3368B">
        <w:rPr>
          <w:rFonts w:asciiTheme="majorHAnsi" w:hAnsiTheme="majorHAnsi"/>
        </w:rPr>
        <w:t xml:space="preserve"> не до </w:t>
      </w:r>
      <w:r w:rsidR="003A2E06">
        <w:rPr>
          <w:rFonts w:asciiTheme="majorHAnsi" w:hAnsiTheme="majorHAnsi"/>
        </w:rPr>
        <w:t>глобата</w:t>
      </w:r>
      <w:r w:rsidR="00D3368B">
        <w:rPr>
          <w:rFonts w:asciiTheme="majorHAnsi" w:hAnsiTheme="majorHAnsi"/>
        </w:rPr>
        <w:t>, а до основното наказание лишаване от свобода</w:t>
      </w:r>
      <w:r w:rsidRPr="00597832">
        <w:rPr>
          <w:rFonts w:asciiTheme="majorHAnsi" w:hAnsiTheme="majorHAnsi"/>
        </w:rPr>
        <w:t xml:space="preserve">. </w:t>
      </w:r>
    </w:p>
    <w:p w:rsidR="00726CF7" w:rsidRDefault="004B1140" w:rsidP="00726CF7">
      <w:pPr>
        <w:shd w:val="clear" w:color="auto" w:fill="FFFFFF" w:themeFill="background1"/>
        <w:ind w:firstLine="720"/>
        <w:jc w:val="both"/>
        <w:rPr>
          <w:rFonts w:asciiTheme="majorHAnsi" w:hAnsiTheme="majorHAnsi"/>
        </w:rPr>
      </w:pPr>
      <w:r>
        <w:rPr>
          <w:rFonts w:asciiTheme="majorHAnsi" w:hAnsiTheme="majorHAnsi"/>
        </w:rPr>
        <w:t xml:space="preserve">През отчетния период не са подавани молби от осъдени на </w:t>
      </w:r>
      <w:r w:rsidRPr="005B6870">
        <w:rPr>
          <w:rFonts w:asciiTheme="majorHAnsi" w:hAnsiTheme="majorHAnsi"/>
          <w:b/>
        </w:rPr>
        <w:t>пробация</w:t>
      </w:r>
      <w:r>
        <w:rPr>
          <w:rFonts w:asciiTheme="majorHAnsi" w:hAnsiTheme="majorHAnsi"/>
        </w:rPr>
        <w:t>.</w:t>
      </w:r>
    </w:p>
    <w:p w:rsidR="004B1140" w:rsidRPr="00597832" w:rsidRDefault="004B1140" w:rsidP="00726CF7">
      <w:pPr>
        <w:shd w:val="clear" w:color="auto" w:fill="FFFFFF" w:themeFill="background1"/>
        <w:ind w:firstLine="720"/>
        <w:jc w:val="both"/>
        <w:rPr>
          <w:rFonts w:asciiTheme="majorHAnsi" w:hAnsiTheme="majorHAnsi"/>
        </w:rPr>
      </w:pPr>
    </w:p>
    <w:p w:rsidR="00F21611" w:rsidRDefault="00F21611" w:rsidP="00726CF7">
      <w:pPr>
        <w:pStyle w:val="ListParagraph"/>
        <w:ind w:left="0" w:firstLine="708"/>
        <w:jc w:val="both"/>
        <w:rPr>
          <w:rFonts w:asciiTheme="majorHAnsi" w:hAnsiTheme="majorHAnsi"/>
          <w:b/>
        </w:rPr>
      </w:pPr>
      <w:r w:rsidRPr="00F21611">
        <w:rPr>
          <w:rFonts w:asciiTheme="majorHAnsi" w:hAnsiTheme="majorHAnsi"/>
          <w:b/>
        </w:rPr>
        <w:t xml:space="preserve">2.2.5. </w:t>
      </w:r>
      <w:r>
        <w:rPr>
          <w:rFonts w:asciiTheme="majorHAnsi" w:hAnsiTheme="majorHAnsi"/>
          <w:b/>
        </w:rPr>
        <w:t>Мотиви на осъдените молители</w:t>
      </w:r>
      <w:r w:rsidRPr="00F21611">
        <w:rPr>
          <w:rFonts w:asciiTheme="majorHAnsi" w:hAnsiTheme="majorHAnsi"/>
          <w:b/>
        </w:rPr>
        <w:t xml:space="preserve"> </w:t>
      </w:r>
    </w:p>
    <w:p w:rsidR="00395710" w:rsidRDefault="00F56E50" w:rsidP="00581010">
      <w:pPr>
        <w:pStyle w:val="ListParagraph"/>
        <w:ind w:left="0" w:firstLine="708"/>
        <w:jc w:val="both"/>
        <w:rPr>
          <w:rFonts w:asciiTheme="majorHAnsi" w:hAnsiTheme="majorHAnsi"/>
        </w:rPr>
      </w:pPr>
      <w:r>
        <w:rPr>
          <w:rFonts w:asciiTheme="majorHAnsi" w:hAnsiTheme="majorHAnsi"/>
        </w:rPr>
        <w:t>И п</w:t>
      </w:r>
      <w:r w:rsidR="00A41765">
        <w:rPr>
          <w:rFonts w:asciiTheme="majorHAnsi" w:hAnsiTheme="majorHAnsi"/>
        </w:rPr>
        <w:t xml:space="preserve">рез </w:t>
      </w:r>
      <w:r w:rsidR="003A2E06">
        <w:rPr>
          <w:rFonts w:asciiTheme="majorHAnsi" w:hAnsiTheme="majorHAnsi"/>
        </w:rPr>
        <w:t>второто</w:t>
      </w:r>
      <w:r w:rsidR="00A41765">
        <w:rPr>
          <w:rFonts w:asciiTheme="majorHAnsi" w:hAnsiTheme="majorHAnsi"/>
        </w:rPr>
        <w:t xml:space="preserve"> тримесечие на 2016 г. молител</w:t>
      </w:r>
      <w:r w:rsidR="005B2039">
        <w:rPr>
          <w:rFonts w:asciiTheme="majorHAnsi" w:hAnsiTheme="majorHAnsi"/>
        </w:rPr>
        <w:t>и</w:t>
      </w:r>
      <w:r>
        <w:rPr>
          <w:rFonts w:asciiTheme="majorHAnsi" w:hAnsiTheme="majorHAnsi"/>
        </w:rPr>
        <w:t>те</w:t>
      </w:r>
      <w:r w:rsidR="005B2039">
        <w:rPr>
          <w:rFonts w:asciiTheme="majorHAnsi" w:hAnsiTheme="majorHAnsi"/>
        </w:rPr>
        <w:t xml:space="preserve"> </w:t>
      </w:r>
      <w:r>
        <w:rPr>
          <w:rFonts w:asciiTheme="majorHAnsi" w:hAnsiTheme="majorHAnsi"/>
        </w:rPr>
        <w:t xml:space="preserve">не се </w:t>
      </w:r>
      <w:r w:rsidR="00A41765">
        <w:rPr>
          <w:rFonts w:asciiTheme="majorHAnsi" w:hAnsiTheme="majorHAnsi"/>
        </w:rPr>
        <w:t>позова</w:t>
      </w:r>
      <w:r>
        <w:rPr>
          <w:rFonts w:asciiTheme="majorHAnsi" w:hAnsiTheme="majorHAnsi"/>
        </w:rPr>
        <w:t>ват</w:t>
      </w:r>
      <w:r w:rsidR="00A41765">
        <w:rPr>
          <w:rFonts w:asciiTheme="majorHAnsi" w:hAnsiTheme="majorHAnsi"/>
        </w:rPr>
        <w:t xml:space="preserve"> на мотив</w:t>
      </w:r>
      <w:r>
        <w:rPr>
          <w:rFonts w:asciiTheme="majorHAnsi" w:hAnsiTheme="majorHAnsi"/>
        </w:rPr>
        <w:t>и,</w:t>
      </w:r>
      <w:r w:rsidR="00A41765">
        <w:rPr>
          <w:rFonts w:asciiTheme="majorHAnsi" w:hAnsiTheme="majorHAnsi"/>
        </w:rPr>
        <w:t xml:space="preserve"> </w:t>
      </w:r>
      <w:r>
        <w:rPr>
          <w:rFonts w:asciiTheme="majorHAnsi" w:hAnsiTheme="majorHAnsi"/>
        </w:rPr>
        <w:t>представляващи по същество предпоставки за условно предсрочно освобождаване (УПО)</w:t>
      </w:r>
      <w:r w:rsidR="00A41765">
        <w:rPr>
          <w:rStyle w:val="FootnoteReference"/>
          <w:rFonts w:asciiTheme="majorHAnsi" w:hAnsiTheme="majorHAnsi"/>
        </w:rPr>
        <w:footnoteReference w:id="5"/>
      </w:r>
      <w:r w:rsidR="00A41765">
        <w:rPr>
          <w:rFonts w:asciiTheme="majorHAnsi" w:hAnsiTheme="majorHAnsi"/>
        </w:rPr>
        <w:t>.</w:t>
      </w:r>
      <w:r>
        <w:rPr>
          <w:rFonts w:asciiTheme="majorHAnsi" w:hAnsiTheme="majorHAnsi"/>
        </w:rPr>
        <w:t xml:space="preserve"> Описаното наблюдение е устойчиво и ясно очертава промяна в представите на молителите за приложното поле на помилването спрямо редовния способ за облекчаване на репресията.</w:t>
      </w:r>
      <w:r w:rsidR="00A41765" w:rsidRPr="00A41765">
        <w:rPr>
          <w:rFonts w:asciiTheme="majorHAnsi" w:hAnsiTheme="majorHAnsi"/>
          <w:sz w:val="20"/>
          <w:szCs w:val="20"/>
        </w:rPr>
        <w:t xml:space="preserve"> </w:t>
      </w:r>
    </w:p>
    <w:p w:rsidR="00F21611" w:rsidRDefault="00A41765" w:rsidP="00F21611">
      <w:pPr>
        <w:pStyle w:val="ListParagraph"/>
        <w:ind w:left="0" w:firstLine="708"/>
        <w:jc w:val="both"/>
        <w:rPr>
          <w:rFonts w:asciiTheme="majorHAnsi" w:hAnsiTheme="majorHAnsi"/>
        </w:rPr>
      </w:pPr>
      <w:r>
        <w:rPr>
          <w:noProof/>
        </w:rPr>
        <w:drawing>
          <wp:anchor distT="0" distB="0" distL="114300" distR="114300" simplePos="0" relativeHeight="251708928" behindDoc="1" locked="0" layoutInCell="1" allowOverlap="1" wp14:anchorId="006F2DE8" wp14:editId="4440C957">
            <wp:simplePos x="0" y="0"/>
            <wp:positionH relativeFrom="column">
              <wp:posOffset>-457200</wp:posOffset>
            </wp:positionH>
            <wp:positionV relativeFrom="paragraph">
              <wp:posOffset>149860</wp:posOffset>
            </wp:positionV>
            <wp:extent cx="9058275" cy="2533650"/>
            <wp:effectExtent l="0" t="0" r="9525" b="19050"/>
            <wp:wrapTight wrapText="bothSides">
              <wp:wrapPolygon edited="0">
                <wp:start x="0" y="0"/>
                <wp:lineTo x="0" y="21600"/>
                <wp:lineTo x="21577" y="21600"/>
                <wp:lineTo x="21577"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F21611">
        <w:rPr>
          <w:rFonts w:asciiTheme="majorHAnsi" w:hAnsiTheme="majorHAnsi"/>
        </w:rPr>
        <w:t xml:space="preserve">По отношение на останалите </w:t>
      </w:r>
      <w:r w:rsidR="00AB709C">
        <w:rPr>
          <w:rFonts w:asciiTheme="majorHAnsi" w:hAnsiTheme="majorHAnsi"/>
        </w:rPr>
        <w:t>групи мотиви</w:t>
      </w:r>
      <w:r w:rsidR="00F21611">
        <w:rPr>
          <w:rFonts w:asciiTheme="majorHAnsi" w:hAnsiTheme="majorHAnsi"/>
        </w:rPr>
        <w:t xml:space="preserve"> </w:t>
      </w:r>
      <w:r w:rsidR="00F56E50">
        <w:rPr>
          <w:rFonts w:asciiTheme="majorHAnsi" w:hAnsiTheme="majorHAnsi"/>
        </w:rPr>
        <w:t>от значение е двукратното намаляване на дела на молителите, позоваващи се на прекомерност на репресията (от 8% на 4%), относително увеличаване на дела на мотивите, свързани с разкаяние (35% от 30%) за сметка на спад в самооправдателните мотиви (14% от 19%)</w:t>
      </w:r>
      <w:r w:rsidR="00F21611">
        <w:rPr>
          <w:rFonts w:asciiTheme="majorHAnsi" w:hAnsiTheme="majorHAnsi"/>
        </w:rPr>
        <w:t xml:space="preserve">. Отново </w:t>
      </w:r>
      <w:r w:rsidR="00F21611" w:rsidRPr="006E5707">
        <w:rPr>
          <w:rFonts w:asciiTheme="majorHAnsi" w:hAnsiTheme="majorHAnsi"/>
        </w:rPr>
        <w:t xml:space="preserve">преобладават твърдения за настъпили </w:t>
      </w:r>
      <w:r w:rsidR="00F21611" w:rsidRPr="006E5707">
        <w:rPr>
          <w:rFonts w:asciiTheme="majorHAnsi" w:hAnsiTheme="majorHAnsi"/>
          <w:b/>
        </w:rPr>
        <w:t>хуманитарни обстоятелства</w:t>
      </w:r>
      <w:r w:rsidR="00F21611" w:rsidRPr="006E5707">
        <w:rPr>
          <w:rFonts w:asciiTheme="majorHAnsi" w:hAnsiTheme="majorHAnsi"/>
        </w:rPr>
        <w:t xml:space="preserve">, чийто дял </w:t>
      </w:r>
      <w:r w:rsidR="00F56E50">
        <w:rPr>
          <w:rFonts w:asciiTheme="majorHAnsi" w:hAnsiTheme="majorHAnsi"/>
        </w:rPr>
        <w:t>леко нараства на</w:t>
      </w:r>
      <w:r w:rsidR="00F21611" w:rsidRPr="006E5707">
        <w:rPr>
          <w:rFonts w:asciiTheme="majorHAnsi" w:hAnsiTheme="majorHAnsi"/>
        </w:rPr>
        <w:t xml:space="preserve"> 7</w:t>
      </w:r>
      <w:r w:rsidR="00F56E50">
        <w:rPr>
          <w:rFonts w:asciiTheme="majorHAnsi" w:hAnsiTheme="majorHAnsi"/>
        </w:rPr>
        <w:t>6</w:t>
      </w:r>
      <w:r w:rsidR="00F21611" w:rsidRPr="006E5707">
        <w:rPr>
          <w:rFonts w:asciiTheme="majorHAnsi" w:hAnsiTheme="majorHAnsi"/>
        </w:rPr>
        <w:t>%</w:t>
      </w:r>
      <w:r w:rsidR="00F56E50">
        <w:rPr>
          <w:rFonts w:asciiTheme="majorHAnsi" w:hAnsiTheme="majorHAnsi"/>
        </w:rPr>
        <w:t xml:space="preserve"> от 69%</w:t>
      </w:r>
      <w:r w:rsidR="00F21611">
        <w:rPr>
          <w:rFonts w:asciiTheme="majorHAnsi" w:hAnsiTheme="majorHAnsi"/>
        </w:rPr>
        <w:t>.</w:t>
      </w:r>
      <w:r w:rsidR="00F21611" w:rsidRPr="00F21611">
        <w:rPr>
          <w:rFonts w:asciiTheme="majorHAnsi" w:hAnsiTheme="majorHAnsi"/>
        </w:rPr>
        <w:t xml:space="preserve"> </w:t>
      </w:r>
      <w:r w:rsidR="00F21611">
        <w:rPr>
          <w:rFonts w:asciiTheme="majorHAnsi" w:hAnsiTheme="majorHAnsi"/>
        </w:rPr>
        <w:t>Запазен е и делът на молителите с твърдения за несправедливо осъждане (устойчиво 1</w:t>
      </w:r>
      <w:r>
        <w:rPr>
          <w:rFonts w:asciiTheme="majorHAnsi" w:hAnsiTheme="majorHAnsi"/>
        </w:rPr>
        <w:t>5</w:t>
      </w:r>
      <w:r w:rsidR="00F56E50">
        <w:rPr>
          <w:rFonts w:asciiTheme="majorHAnsi" w:hAnsiTheme="majorHAnsi"/>
        </w:rPr>
        <w:t>-19</w:t>
      </w:r>
      <w:r w:rsidR="00F21611">
        <w:rPr>
          <w:rFonts w:asciiTheme="majorHAnsi" w:hAnsiTheme="majorHAnsi"/>
        </w:rPr>
        <w:t> %).</w:t>
      </w:r>
    </w:p>
    <w:p w:rsidR="00406A94" w:rsidRDefault="00726CF7" w:rsidP="00406A94">
      <w:pPr>
        <w:pStyle w:val="ListParagraph"/>
        <w:ind w:left="0" w:firstLine="708"/>
        <w:jc w:val="both"/>
        <w:rPr>
          <w:rFonts w:asciiTheme="majorHAnsi" w:hAnsiTheme="majorHAnsi"/>
        </w:rPr>
      </w:pPr>
      <w:r>
        <w:rPr>
          <w:rFonts w:asciiTheme="majorHAnsi" w:hAnsiTheme="majorHAnsi"/>
        </w:rPr>
        <w:t>В</w:t>
      </w:r>
      <w:r w:rsidRPr="006E5707">
        <w:rPr>
          <w:rFonts w:asciiTheme="majorHAnsi" w:hAnsiTheme="majorHAnsi"/>
        </w:rPr>
        <w:t xml:space="preserve">одещо място </w:t>
      </w:r>
      <w:r>
        <w:rPr>
          <w:rFonts w:asciiTheme="majorHAnsi" w:hAnsiTheme="majorHAnsi"/>
        </w:rPr>
        <w:t xml:space="preserve">сред </w:t>
      </w:r>
      <w:r w:rsidR="00C02C11">
        <w:rPr>
          <w:rFonts w:asciiTheme="majorHAnsi" w:hAnsiTheme="majorHAnsi"/>
        </w:rPr>
        <w:t xml:space="preserve">хумантираните мотиви </w:t>
      </w:r>
      <w:r w:rsidRPr="006E5707">
        <w:rPr>
          <w:rFonts w:asciiTheme="majorHAnsi" w:hAnsiTheme="majorHAnsi"/>
        </w:rPr>
        <w:t xml:space="preserve">заемат твърденията за </w:t>
      </w:r>
      <w:r w:rsidRPr="00AB709C">
        <w:rPr>
          <w:rFonts w:asciiTheme="majorHAnsi" w:hAnsiTheme="majorHAnsi"/>
          <w:b/>
        </w:rPr>
        <w:t>тежко здравословно състояние</w:t>
      </w:r>
      <w:r w:rsidR="00A41765">
        <w:rPr>
          <w:rFonts w:asciiTheme="majorHAnsi" w:hAnsiTheme="majorHAnsi"/>
          <w:b/>
        </w:rPr>
        <w:t>,</w:t>
      </w:r>
      <w:r w:rsidRPr="006E5707">
        <w:rPr>
          <w:rFonts w:asciiTheme="majorHAnsi" w:hAnsiTheme="majorHAnsi"/>
        </w:rPr>
        <w:t xml:space="preserve"> </w:t>
      </w:r>
      <w:r>
        <w:rPr>
          <w:rFonts w:asciiTheme="majorHAnsi" w:hAnsiTheme="majorHAnsi"/>
        </w:rPr>
        <w:t>което по оценка на молителя е несъвместимо с ефективно изтърпяване на наказанието и води до неговата прекомерност или нецелесъобразност.</w:t>
      </w:r>
      <w:r w:rsidR="00406A94">
        <w:rPr>
          <w:rFonts w:asciiTheme="majorHAnsi" w:hAnsiTheme="majorHAnsi"/>
        </w:rPr>
        <w:t xml:space="preserve"> </w:t>
      </w:r>
      <w:r w:rsidR="00406A94" w:rsidRPr="00406A94">
        <w:rPr>
          <w:rFonts w:asciiTheme="majorHAnsi" w:hAnsiTheme="majorHAnsi"/>
        </w:rPr>
        <w:t>От</w:t>
      </w:r>
      <w:r w:rsidR="00406A94" w:rsidRPr="0010391E">
        <w:rPr>
          <w:rFonts w:asciiTheme="majorHAnsi" w:hAnsiTheme="majorHAnsi"/>
        </w:rPr>
        <w:t xml:space="preserve"> всичките </w:t>
      </w:r>
      <w:r w:rsidR="00F56E50">
        <w:rPr>
          <w:rFonts w:asciiTheme="majorHAnsi" w:hAnsiTheme="majorHAnsi"/>
        </w:rPr>
        <w:t>44</w:t>
      </w:r>
      <w:r w:rsidR="00406A94" w:rsidRPr="0010391E">
        <w:rPr>
          <w:rFonts w:asciiTheme="majorHAnsi" w:hAnsiTheme="majorHAnsi"/>
        </w:rPr>
        <w:t xml:space="preserve"> молители, </w:t>
      </w:r>
      <w:r w:rsidR="00406A94">
        <w:rPr>
          <w:rFonts w:asciiTheme="majorHAnsi" w:hAnsiTheme="majorHAnsi"/>
        </w:rPr>
        <w:t xml:space="preserve">които са се позовали на този аргумент, </w:t>
      </w:r>
      <w:r w:rsidR="00F56E50">
        <w:rPr>
          <w:rFonts w:asciiTheme="majorHAnsi" w:hAnsiTheme="majorHAnsi"/>
        </w:rPr>
        <w:t>42</w:t>
      </w:r>
      <w:r w:rsidR="00406A94">
        <w:rPr>
          <w:rFonts w:asciiTheme="majorHAnsi" w:hAnsiTheme="majorHAnsi"/>
        </w:rPr>
        <w:t xml:space="preserve"> са клинично здрави. </w:t>
      </w:r>
    </w:p>
    <w:p w:rsidR="00726CF7" w:rsidRDefault="00A41765" w:rsidP="00726CF7">
      <w:pPr>
        <w:ind w:firstLine="708"/>
        <w:jc w:val="both"/>
        <w:rPr>
          <w:rFonts w:asciiTheme="majorHAnsi" w:hAnsiTheme="majorHAnsi"/>
        </w:rPr>
      </w:pPr>
      <w:r>
        <w:rPr>
          <w:rFonts w:asciiTheme="majorHAnsi" w:hAnsiTheme="majorHAnsi"/>
        </w:rPr>
        <w:t>Относително спада д</w:t>
      </w:r>
      <w:r w:rsidR="00726CF7">
        <w:rPr>
          <w:rFonts w:asciiTheme="majorHAnsi" w:hAnsiTheme="majorHAnsi"/>
        </w:rPr>
        <w:t xml:space="preserve">ругата голяма група хуманитарни обстоятелства </w:t>
      </w:r>
      <w:r>
        <w:rPr>
          <w:rFonts w:asciiTheme="majorHAnsi" w:hAnsiTheme="majorHAnsi"/>
        </w:rPr>
        <w:t>-</w:t>
      </w:r>
      <w:r w:rsidR="00726CF7" w:rsidRPr="006B767C">
        <w:rPr>
          <w:rFonts w:asciiTheme="majorHAnsi" w:hAnsiTheme="majorHAnsi"/>
        </w:rPr>
        <w:t xml:space="preserve"> </w:t>
      </w:r>
      <w:r w:rsidR="00726CF7" w:rsidRPr="000E0546">
        <w:rPr>
          <w:rFonts w:asciiTheme="majorHAnsi" w:hAnsiTheme="majorHAnsi"/>
          <w:b/>
        </w:rPr>
        <w:t>семейни</w:t>
      </w:r>
      <w:r>
        <w:rPr>
          <w:rFonts w:asciiTheme="majorHAnsi" w:hAnsiTheme="majorHAnsi"/>
          <w:b/>
        </w:rPr>
        <w:t>те</w:t>
      </w:r>
      <w:r w:rsidR="00726CF7" w:rsidRPr="000E0546">
        <w:rPr>
          <w:rFonts w:asciiTheme="majorHAnsi" w:hAnsiTheme="majorHAnsi"/>
          <w:b/>
        </w:rPr>
        <w:t xml:space="preserve"> </w:t>
      </w:r>
      <w:r>
        <w:rPr>
          <w:rFonts w:asciiTheme="majorHAnsi" w:hAnsiTheme="majorHAnsi"/>
        </w:rPr>
        <w:t>(</w:t>
      </w:r>
      <w:r w:rsidR="00726CF7">
        <w:rPr>
          <w:rFonts w:asciiTheme="majorHAnsi" w:hAnsiTheme="majorHAnsi"/>
        </w:rPr>
        <w:t xml:space="preserve">тежко финансово положение на семейството, затруднения на близките да поемат грижи за деца или болни роднини или опасност дете или родител на </w:t>
      </w:r>
      <w:r w:rsidR="00AB709C">
        <w:rPr>
          <w:rFonts w:asciiTheme="majorHAnsi" w:hAnsiTheme="majorHAnsi"/>
        </w:rPr>
        <w:t>осъдения да остане без грижи</w:t>
      </w:r>
      <w:r>
        <w:rPr>
          <w:rFonts w:asciiTheme="majorHAnsi" w:hAnsiTheme="majorHAnsi"/>
        </w:rPr>
        <w:t>)</w:t>
      </w:r>
      <w:r w:rsidR="00AB709C">
        <w:rPr>
          <w:rFonts w:asciiTheme="majorHAnsi" w:hAnsiTheme="majorHAnsi"/>
        </w:rPr>
        <w:t>. В</w:t>
      </w:r>
      <w:r w:rsidR="00726CF7">
        <w:rPr>
          <w:rFonts w:asciiTheme="majorHAnsi" w:hAnsiTheme="majorHAnsi"/>
        </w:rPr>
        <w:t xml:space="preserve"> повечето случаи е установено, че молителят не е полагал никакви или не е полагал адекватни грижи за близките си и няма ресурса и нагласата да се грижи за </w:t>
      </w:r>
      <w:r w:rsidR="00AB709C">
        <w:rPr>
          <w:rFonts w:asciiTheme="majorHAnsi" w:hAnsiTheme="majorHAnsi"/>
        </w:rPr>
        <w:t>тях</w:t>
      </w:r>
      <w:r w:rsidR="00726CF7">
        <w:rPr>
          <w:rFonts w:asciiTheme="majorHAnsi" w:hAnsiTheme="majorHAnsi"/>
        </w:rPr>
        <w:t xml:space="preserve">. </w:t>
      </w:r>
    </w:p>
    <w:p w:rsidR="00726CF7" w:rsidRPr="00597832" w:rsidRDefault="00726CF7" w:rsidP="00726CF7">
      <w:pPr>
        <w:pStyle w:val="ListParagraph"/>
        <w:ind w:left="0" w:firstLine="708"/>
        <w:jc w:val="both"/>
        <w:rPr>
          <w:rFonts w:asciiTheme="majorHAnsi" w:hAnsiTheme="majorHAnsi"/>
        </w:rPr>
      </w:pPr>
    </w:p>
    <w:p w:rsidR="00B17B41" w:rsidRPr="005061FD" w:rsidRDefault="00B17B41" w:rsidP="003301BC">
      <w:pPr>
        <w:ind w:firstLine="708"/>
        <w:jc w:val="center"/>
        <w:rPr>
          <w:rFonts w:asciiTheme="majorHAnsi" w:hAnsiTheme="majorHAnsi"/>
          <w:b/>
          <w:sz w:val="28"/>
          <w:szCs w:val="28"/>
        </w:rPr>
      </w:pPr>
      <w:r w:rsidRPr="005061FD">
        <w:rPr>
          <w:rFonts w:asciiTheme="majorHAnsi" w:hAnsiTheme="majorHAnsi"/>
          <w:b/>
          <w:sz w:val="28"/>
          <w:szCs w:val="28"/>
        </w:rPr>
        <w:t>3. ПРАКТИКА НА КОМИСИЯТА</w:t>
      </w:r>
    </w:p>
    <w:p w:rsidR="00B17B41" w:rsidRDefault="00B17B41" w:rsidP="00B17B41">
      <w:pPr>
        <w:ind w:firstLine="708"/>
        <w:jc w:val="both"/>
        <w:rPr>
          <w:rFonts w:asciiTheme="majorHAnsi" w:hAnsiTheme="majorHAnsi"/>
        </w:rPr>
      </w:pPr>
    </w:p>
    <w:p w:rsidR="00B17B41" w:rsidRDefault="00B17B41" w:rsidP="00B17B41">
      <w:pPr>
        <w:ind w:firstLine="708"/>
        <w:jc w:val="both"/>
        <w:rPr>
          <w:rFonts w:asciiTheme="majorHAnsi" w:hAnsiTheme="majorHAnsi"/>
        </w:rPr>
      </w:pPr>
      <w:r>
        <w:rPr>
          <w:rFonts w:asciiTheme="majorHAnsi" w:hAnsiTheme="majorHAnsi"/>
        </w:rPr>
        <w:t>Съгласно чл. 98, т. 11 от Конституцията правото на помилване принадлежи на държавата в лицето на президента / вицепрезидента. Молителите имат право да получат произнасяне на държавния глава по тяхна молба за помилване. За всяко решение на вицепрезидента Комисията уведомява молителя, освен в случай на помилване, когато се издава указ.</w:t>
      </w:r>
    </w:p>
    <w:p w:rsidR="00B17B41" w:rsidRPr="00886F27" w:rsidRDefault="00B17B41" w:rsidP="00A164E4">
      <w:pPr>
        <w:ind w:firstLine="708"/>
        <w:jc w:val="both"/>
        <w:rPr>
          <w:rFonts w:ascii="Cambria" w:hAnsi="Cambria"/>
        </w:rPr>
      </w:pPr>
    </w:p>
    <w:p w:rsidR="001F67EB" w:rsidRDefault="00AF7962" w:rsidP="00705C66">
      <w:pPr>
        <w:ind w:firstLine="67"/>
        <w:jc w:val="center"/>
        <w:rPr>
          <w:rFonts w:asciiTheme="majorHAnsi" w:hAnsiTheme="majorHAnsi"/>
          <w:b/>
        </w:rPr>
      </w:pPr>
      <w:r>
        <w:rPr>
          <w:rFonts w:asciiTheme="majorHAnsi" w:hAnsiTheme="majorHAnsi"/>
          <w:b/>
        </w:rPr>
        <w:t>3</w:t>
      </w:r>
      <w:r w:rsidR="001F67EB" w:rsidRPr="00F905F4">
        <w:rPr>
          <w:rFonts w:asciiTheme="majorHAnsi" w:hAnsiTheme="majorHAnsi"/>
          <w:b/>
        </w:rPr>
        <w:t>.1</w:t>
      </w:r>
      <w:r w:rsidR="007B19B8">
        <w:rPr>
          <w:rFonts w:asciiTheme="majorHAnsi" w:hAnsiTheme="majorHAnsi"/>
          <w:b/>
        </w:rPr>
        <w:t>.</w:t>
      </w:r>
      <w:r w:rsidR="001F67EB" w:rsidRPr="00F905F4">
        <w:rPr>
          <w:rFonts w:asciiTheme="majorHAnsi" w:hAnsiTheme="majorHAnsi"/>
          <w:b/>
        </w:rPr>
        <w:t xml:space="preserve"> ПРЕДЛОЖЕНИЯ ЗА ПРЕКРАТЯВАНЕ НА РАЗГЛЕЖДАНЕТО</w:t>
      </w:r>
    </w:p>
    <w:p w:rsidR="00A71F9B" w:rsidRPr="00F905F4" w:rsidRDefault="00A71F9B" w:rsidP="003A1FA3">
      <w:pPr>
        <w:ind w:left="359" w:firstLine="709"/>
        <w:jc w:val="both"/>
        <w:rPr>
          <w:rFonts w:asciiTheme="majorHAnsi" w:hAnsiTheme="majorHAnsi"/>
          <w:b/>
        </w:rPr>
      </w:pPr>
    </w:p>
    <w:p w:rsidR="001229C6" w:rsidRDefault="00FD685C" w:rsidP="001F67EB">
      <w:pPr>
        <w:ind w:firstLine="709"/>
        <w:jc w:val="both"/>
        <w:rPr>
          <w:rFonts w:asciiTheme="majorHAnsi" w:hAnsiTheme="majorHAnsi"/>
        </w:rPr>
      </w:pPr>
      <w:r>
        <w:rPr>
          <w:rFonts w:asciiTheme="majorHAnsi" w:hAnsiTheme="majorHAnsi"/>
        </w:rPr>
        <w:t xml:space="preserve">През </w:t>
      </w:r>
      <w:r w:rsidR="003301BC">
        <w:rPr>
          <w:rFonts w:asciiTheme="majorHAnsi" w:hAnsiTheme="majorHAnsi"/>
        </w:rPr>
        <w:t xml:space="preserve">отчетния период </w:t>
      </w:r>
      <w:r>
        <w:rPr>
          <w:rFonts w:asciiTheme="majorHAnsi" w:hAnsiTheme="majorHAnsi"/>
        </w:rPr>
        <w:t xml:space="preserve"> </w:t>
      </w:r>
      <w:r w:rsidR="001F67EB" w:rsidRPr="00F905F4">
        <w:rPr>
          <w:rFonts w:asciiTheme="majorHAnsi" w:hAnsiTheme="majorHAnsi"/>
        </w:rPr>
        <w:t xml:space="preserve">Комисията се е произнесла с </w:t>
      </w:r>
      <w:r w:rsidR="001F67EB" w:rsidRPr="00F905F4">
        <w:rPr>
          <w:rFonts w:asciiTheme="majorHAnsi" w:hAnsiTheme="majorHAnsi"/>
          <w:b/>
        </w:rPr>
        <w:t>предложение за прекратяване</w:t>
      </w:r>
      <w:r w:rsidR="001F67EB" w:rsidRPr="00F905F4">
        <w:rPr>
          <w:rFonts w:asciiTheme="majorHAnsi" w:hAnsiTheme="majorHAnsi"/>
        </w:rPr>
        <w:t xml:space="preserve"> на разглеждането на </w:t>
      </w:r>
      <w:r w:rsidR="0029397B">
        <w:rPr>
          <w:rFonts w:asciiTheme="majorHAnsi" w:hAnsiTheme="majorHAnsi"/>
          <w:b/>
          <w:lang w:val="en-US"/>
        </w:rPr>
        <w:t>3</w:t>
      </w:r>
      <w:r w:rsidR="000F0C79" w:rsidRPr="00F70525">
        <w:rPr>
          <w:rFonts w:asciiTheme="majorHAnsi" w:hAnsiTheme="majorHAnsi"/>
          <w:b/>
          <w:lang w:val="en-US"/>
        </w:rPr>
        <w:t xml:space="preserve"> </w:t>
      </w:r>
      <w:r w:rsidR="001F67EB" w:rsidRPr="00F70525">
        <w:rPr>
          <w:rFonts w:asciiTheme="majorHAnsi" w:hAnsiTheme="majorHAnsi"/>
          <w:b/>
        </w:rPr>
        <w:t>молби</w:t>
      </w:r>
      <w:r w:rsidR="001229C6">
        <w:rPr>
          <w:rFonts w:asciiTheme="majorHAnsi" w:hAnsiTheme="majorHAnsi"/>
        </w:rPr>
        <w:t xml:space="preserve">. </w:t>
      </w:r>
    </w:p>
    <w:p w:rsidR="0029397B" w:rsidRDefault="001229C6" w:rsidP="001F67EB">
      <w:pPr>
        <w:ind w:firstLine="709"/>
        <w:jc w:val="both"/>
        <w:rPr>
          <w:rFonts w:asciiTheme="majorHAnsi" w:hAnsiTheme="majorHAnsi"/>
          <w:lang w:val="en-US"/>
        </w:rPr>
      </w:pPr>
      <w:r>
        <w:rPr>
          <w:rFonts w:asciiTheme="majorHAnsi" w:hAnsiTheme="majorHAnsi"/>
        </w:rPr>
        <w:t>П</w:t>
      </w:r>
      <w:r w:rsidR="001F67EB" w:rsidRPr="00F905F4">
        <w:rPr>
          <w:rFonts w:asciiTheme="majorHAnsi" w:hAnsiTheme="majorHAnsi"/>
        </w:rPr>
        <w:t xml:space="preserve">ри </w:t>
      </w:r>
      <w:r w:rsidR="0029397B">
        <w:rPr>
          <w:rFonts w:asciiTheme="majorHAnsi" w:hAnsiTheme="majorHAnsi"/>
        </w:rPr>
        <w:t>една</w:t>
      </w:r>
      <w:r w:rsidR="00190242">
        <w:rPr>
          <w:rFonts w:asciiTheme="majorHAnsi" w:hAnsiTheme="majorHAnsi"/>
        </w:rPr>
        <w:t xml:space="preserve"> от тях</w:t>
      </w:r>
      <w:r w:rsidR="001F67EB" w:rsidRPr="00F905F4">
        <w:rPr>
          <w:rFonts w:asciiTheme="majorHAnsi" w:hAnsiTheme="majorHAnsi"/>
        </w:rPr>
        <w:t xml:space="preserve"> </w:t>
      </w:r>
      <w:r w:rsidR="00190242">
        <w:rPr>
          <w:rFonts w:asciiTheme="majorHAnsi" w:hAnsiTheme="majorHAnsi"/>
        </w:rPr>
        <w:t xml:space="preserve">Комисията </w:t>
      </w:r>
      <w:r w:rsidR="001F67EB" w:rsidRPr="00F905F4">
        <w:rPr>
          <w:rFonts w:asciiTheme="majorHAnsi" w:hAnsiTheme="majorHAnsi"/>
        </w:rPr>
        <w:t>е установила</w:t>
      </w:r>
      <w:r w:rsidR="002A6283">
        <w:rPr>
          <w:rFonts w:asciiTheme="majorHAnsi" w:hAnsiTheme="majorHAnsi"/>
        </w:rPr>
        <w:t>, че</w:t>
      </w:r>
      <w:r w:rsidR="001E06B7" w:rsidRPr="00F905F4">
        <w:rPr>
          <w:rFonts w:asciiTheme="majorHAnsi" w:hAnsiTheme="majorHAnsi"/>
        </w:rPr>
        <w:t xml:space="preserve"> </w:t>
      </w:r>
      <w:r w:rsidR="001F67EB" w:rsidRPr="00F905F4">
        <w:rPr>
          <w:rFonts w:asciiTheme="majorHAnsi" w:hAnsiTheme="majorHAnsi"/>
        </w:rPr>
        <w:t>молбата</w:t>
      </w:r>
      <w:r w:rsidR="001E06B7" w:rsidRPr="00F905F4">
        <w:rPr>
          <w:rFonts w:asciiTheme="majorHAnsi" w:hAnsiTheme="majorHAnsi"/>
        </w:rPr>
        <w:t xml:space="preserve"> е подадена след скорошно произнасяне на Вицепрезидента с отказ от помилване и по случая не са настъпили нови обстоятелства, които да налагат новото му разглеждане по същество</w:t>
      </w:r>
      <w:r w:rsidR="00565284">
        <w:rPr>
          <w:rFonts w:asciiTheme="majorHAnsi" w:hAnsiTheme="majorHAnsi"/>
        </w:rPr>
        <w:t xml:space="preserve">. </w:t>
      </w:r>
    </w:p>
    <w:p w:rsidR="000F156B" w:rsidRDefault="00FD685C" w:rsidP="001F67EB">
      <w:pPr>
        <w:ind w:firstLine="709"/>
        <w:jc w:val="both"/>
        <w:rPr>
          <w:rFonts w:asciiTheme="majorHAnsi" w:hAnsiTheme="majorHAnsi"/>
        </w:rPr>
      </w:pPr>
      <w:r w:rsidRPr="00F56105">
        <w:rPr>
          <w:rFonts w:asciiTheme="majorHAnsi" w:hAnsiTheme="majorHAnsi"/>
        </w:rPr>
        <w:t>Една молба</w:t>
      </w:r>
      <w:r w:rsidR="00190242">
        <w:rPr>
          <w:rFonts w:asciiTheme="majorHAnsi" w:hAnsiTheme="majorHAnsi"/>
        </w:rPr>
        <w:t xml:space="preserve"> е прекратена, тъй като </w:t>
      </w:r>
      <w:r w:rsidR="0029397B">
        <w:rPr>
          <w:rFonts w:asciiTheme="majorHAnsi" w:hAnsiTheme="majorHAnsi"/>
        </w:rPr>
        <w:t xml:space="preserve">осъденият е </w:t>
      </w:r>
      <w:r w:rsidR="0029397B" w:rsidRPr="0029397B">
        <w:rPr>
          <w:rFonts w:asciiTheme="majorHAnsi" w:hAnsiTheme="majorHAnsi"/>
          <w:b/>
        </w:rPr>
        <w:t>осъден в чужбина и изтърпява наказанието си в чуждестранен затвор</w:t>
      </w:r>
      <w:r w:rsidRPr="00F56105">
        <w:rPr>
          <w:rFonts w:asciiTheme="majorHAnsi" w:hAnsiTheme="majorHAnsi"/>
        </w:rPr>
        <w:t>.</w:t>
      </w:r>
      <w:r w:rsidR="0029397B">
        <w:rPr>
          <w:rFonts w:asciiTheme="majorHAnsi" w:hAnsiTheme="majorHAnsi"/>
        </w:rPr>
        <w:t xml:space="preserve"> Помилването не е приложимо към наказания, наложени в чужбина от чуждестранни съдилища до приспособяването на осъдителната присъда по установения в НПК ред.</w:t>
      </w:r>
    </w:p>
    <w:p w:rsidR="00AB0D9F" w:rsidRPr="00F56105" w:rsidRDefault="00AB0D9F" w:rsidP="001F67EB">
      <w:pPr>
        <w:ind w:firstLine="709"/>
        <w:jc w:val="both"/>
        <w:rPr>
          <w:rFonts w:asciiTheme="majorHAnsi" w:hAnsiTheme="majorHAnsi"/>
        </w:rPr>
      </w:pPr>
      <w:r>
        <w:rPr>
          <w:rFonts w:asciiTheme="majorHAnsi" w:hAnsiTheme="majorHAnsi"/>
        </w:rPr>
        <w:t xml:space="preserve">В </w:t>
      </w:r>
      <w:r w:rsidR="006A314B">
        <w:rPr>
          <w:rFonts w:asciiTheme="majorHAnsi" w:hAnsiTheme="majorHAnsi"/>
        </w:rPr>
        <w:t>един случай</w:t>
      </w:r>
      <w:r>
        <w:rPr>
          <w:rFonts w:asciiTheme="majorHAnsi" w:hAnsiTheme="majorHAnsi"/>
        </w:rPr>
        <w:t xml:space="preserve"> </w:t>
      </w:r>
      <w:r w:rsidRPr="00AB0D9F">
        <w:rPr>
          <w:rFonts w:asciiTheme="majorHAnsi" w:hAnsiTheme="majorHAnsi"/>
          <w:b/>
        </w:rPr>
        <w:t>наказателното производство срещу молителя все още не е завършило</w:t>
      </w:r>
      <w:r>
        <w:rPr>
          <w:rFonts w:asciiTheme="majorHAnsi" w:hAnsiTheme="majorHAnsi"/>
        </w:rPr>
        <w:t xml:space="preserve"> с влязла в сила осъдителна присъда, с която да му е наложено наказание. Поради липсата на окончателно наложено наказание помилването е неприложимо.</w:t>
      </w:r>
      <w:r w:rsidR="000152C0">
        <w:rPr>
          <w:rFonts w:asciiTheme="majorHAnsi" w:hAnsiTheme="majorHAnsi"/>
        </w:rPr>
        <w:t xml:space="preserve"> </w:t>
      </w:r>
    </w:p>
    <w:p w:rsidR="000F156B" w:rsidRDefault="000F156B" w:rsidP="001F67EB">
      <w:pPr>
        <w:ind w:firstLine="709"/>
        <w:jc w:val="both"/>
        <w:rPr>
          <w:rFonts w:asciiTheme="majorHAnsi" w:hAnsiTheme="majorHAnsi"/>
        </w:rPr>
      </w:pPr>
    </w:p>
    <w:p w:rsidR="00AF7962" w:rsidRDefault="00AF7962" w:rsidP="00AF7962">
      <w:pPr>
        <w:pStyle w:val="ListParagraph"/>
        <w:ind w:left="0"/>
        <w:jc w:val="center"/>
        <w:rPr>
          <w:rFonts w:asciiTheme="majorHAnsi" w:hAnsiTheme="majorHAnsi"/>
          <w:b/>
        </w:rPr>
      </w:pPr>
      <w:r>
        <w:rPr>
          <w:rFonts w:asciiTheme="majorHAnsi" w:hAnsiTheme="majorHAnsi"/>
          <w:b/>
        </w:rPr>
        <w:t>3</w:t>
      </w:r>
      <w:r w:rsidR="007565E2">
        <w:rPr>
          <w:rFonts w:asciiTheme="majorHAnsi" w:hAnsiTheme="majorHAnsi"/>
          <w:b/>
        </w:rPr>
        <w:t>.2. </w:t>
      </w:r>
      <w:r w:rsidR="001F67EB" w:rsidRPr="007565E2">
        <w:rPr>
          <w:rFonts w:asciiTheme="majorHAnsi" w:hAnsiTheme="majorHAnsi"/>
          <w:b/>
        </w:rPr>
        <w:t>ПРЕДЛОЖЕНИЯ ЗА ОТКАЗ ОТ</w:t>
      </w:r>
    </w:p>
    <w:p w:rsidR="001F67EB" w:rsidRPr="007565E2" w:rsidRDefault="001F67EB" w:rsidP="00AF7962">
      <w:pPr>
        <w:pStyle w:val="ListParagraph"/>
        <w:ind w:left="0"/>
        <w:jc w:val="center"/>
        <w:rPr>
          <w:rFonts w:asciiTheme="majorHAnsi" w:hAnsiTheme="majorHAnsi"/>
          <w:b/>
        </w:rPr>
      </w:pPr>
      <w:r w:rsidRPr="007565E2">
        <w:rPr>
          <w:rFonts w:asciiTheme="majorHAnsi" w:hAnsiTheme="majorHAnsi"/>
          <w:b/>
        </w:rPr>
        <w:t xml:space="preserve"> УПРАЖНЯВАНЕ НА ПРАВОТО НА ПОМИЛВАНЕ</w:t>
      </w:r>
    </w:p>
    <w:p w:rsidR="00632365" w:rsidRDefault="00632365" w:rsidP="00134504">
      <w:pPr>
        <w:pStyle w:val="ListParagraph"/>
        <w:ind w:left="1428"/>
        <w:jc w:val="both"/>
        <w:rPr>
          <w:rFonts w:asciiTheme="majorHAnsi" w:hAnsiTheme="majorHAnsi"/>
          <w:b/>
        </w:rPr>
      </w:pPr>
    </w:p>
    <w:p w:rsidR="009C3004" w:rsidRDefault="00C53922" w:rsidP="005F6CDF">
      <w:pPr>
        <w:ind w:firstLine="708"/>
        <w:jc w:val="both"/>
        <w:rPr>
          <w:rFonts w:asciiTheme="majorHAnsi" w:hAnsiTheme="majorHAnsi" w:cs="Arial"/>
        </w:rPr>
      </w:pPr>
      <w:r>
        <w:rPr>
          <w:noProof/>
        </w:rPr>
        <w:drawing>
          <wp:anchor distT="0" distB="0" distL="114300" distR="114300" simplePos="0" relativeHeight="251714048" behindDoc="1" locked="0" layoutInCell="1" allowOverlap="1" wp14:anchorId="2CEFED15" wp14:editId="0B671626">
            <wp:simplePos x="0" y="0"/>
            <wp:positionH relativeFrom="column">
              <wp:posOffset>-123825</wp:posOffset>
            </wp:positionH>
            <wp:positionV relativeFrom="paragraph">
              <wp:posOffset>448945</wp:posOffset>
            </wp:positionV>
            <wp:extent cx="4333875" cy="2390775"/>
            <wp:effectExtent l="0" t="0" r="9525" b="9525"/>
            <wp:wrapTight wrapText="bothSides">
              <wp:wrapPolygon edited="0">
                <wp:start x="0" y="0"/>
                <wp:lineTo x="0" y="21514"/>
                <wp:lineTo x="21553" y="21514"/>
                <wp:lineTo x="21553"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024" behindDoc="1" locked="0" layoutInCell="1" allowOverlap="1" wp14:anchorId="313BDA52" wp14:editId="60335926">
            <wp:simplePos x="0" y="0"/>
            <wp:positionH relativeFrom="column">
              <wp:posOffset>2105025</wp:posOffset>
            </wp:positionH>
            <wp:positionV relativeFrom="paragraph">
              <wp:posOffset>477520</wp:posOffset>
            </wp:positionV>
            <wp:extent cx="4514850" cy="2352675"/>
            <wp:effectExtent l="0" t="0" r="19050" b="9525"/>
            <wp:wrapTight wrapText="bothSides">
              <wp:wrapPolygon edited="0">
                <wp:start x="0" y="0"/>
                <wp:lineTo x="0" y="21513"/>
                <wp:lineTo x="21600" y="21513"/>
                <wp:lineTo x="21600"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F70525">
        <w:rPr>
          <w:rFonts w:asciiTheme="majorHAnsi" w:hAnsiTheme="majorHAnsi" w:cs="Arial"/>
        </w:rPr>
        <w:t>Няма</w:t>
      </w:r>
      <w:r w:rsidR="002A6283">
        <w:rPr>
          <w:rFonts w:asciiTheme="majorHAnsi" w:hAnsiTheme="majorHAnsi" w:cs="Arial"/>
        </w:rPr>
        <w:t xml:space="preserve"> промяна в</w:t>
      </w:r>
      <w:r w:rsidR="009C3004">
        <w:rPr>
          <w:rFonts w:asciiTheme="majorHAnsi" w:hAnsiTheme="majorHAnsi" w:cs="Arial"/>
        </w:rPr>
        <w:t xml:space="preserve"> практиката на Комисията по отношение </w:t>
      </w:r>
      <w:r w:rsidR="00F70525">
        <w:rPr>
          <w:rFonts w:asciiTheme="majorHAnsi" w:hAnsiTheme="majorHAnsi" w:cs="Arial"/>
        </w:rPr>
        <w:t xml:space="preserve">на </w:t>
      </w:r>
      <w:r w:rsidR="009C3004">
        <w:rPr>
          <w:rFonts w:asciiTheme="majorHAnsi" w:hAnsiTheme="majorHAnsi" w:cs="Arial"/>
        </w:rPr>
        <w:t xml:space="preserve">приложното поле на помилването и основанията за отказ. </w:t>
      </w:r>
    </w:p>
    <w:p w:rsidR="00FB746B" w:rsidRDefault="00FB746B" w:rsidP="00FB746B">
      <w:pPr>
        <w:ind w:firstLine="708"/>
        <w:jc w:val="both"/>
        <w:rPr>
          <w:rFonts w:asciiTheme="majorHAnsi" w:hAnsiTheme="majorHAnsi" w:cs="Arial"/>
        </w:rPr>
      </w:pPr>
      <w:r>
        <w:rPr>
          <w:rFonts w:asciiTheme="majorHAnsi" w:hAnsiTheme="majorHAnsi" w:cs="Arial"/>
        </w:rPr>
        <w:t>Статистическите разлики в групите мотиви на Комисията межу първото и второто тримесечие и особено увеличаването на групата на специфичните ,,други“ мотиви подчертават индивидуалността на преценката при разглеждане на молба за помилване. Обичайно предложенията за отказ от помилване са подкрепени с мотиви от повече от една групи.</w:t>
      </w:r>
    </w:p>
    <w:p w:rsidR="00FB746B" w:rsidRDefault="00FB746B" w:rsidP="00FB746B">
      <w:pPr>
        <w:ind w:firstLine="708"/>
        <w:jc w:val="both"/>
        <w:rPr>
          <w:rFonts w:ascii="Cambria" w:hAnsi="Cambria"/>
        </w:rPr>
      </w:pPr>
      <w:r>
        <w:rPr>
          <w:rFonts w:asciiTheme="majorHAnsi" w:hAnsiTheme="majorHAnsi" w:cs="Arial"/>
        </w:rPr>
        <w:t>Нарастването на броя на случаите, в които остатъкът от наказанието е преценен като отговарящ на изискванията за пропорционалност и целесъобразност, се дължи частично на обстоятелството, че наказанията на много молители са определени в привилегирована процедура (споразумение, съкратено съдебно следствие)</w:t>
      </w:r>
      <w:r w:rsidR="00A43F5E">
        <w:rPr>
          <w:rFonts w:asciiTheme="majorHAnsi" w:hAnsiTheme="majorHAnsi" w:cs="Arial"/>
        </w:rPr>
        <w:t>.</w:t>
      </w:r>
      <w:r>
        <w:rPr>
          <w:rFonts w:asciiTheme="majorHAnsi" w:hAnsiTheme="majorHAnsi" w:cs="Arial"/>
        </w:rPr>
        <w:t xml:space="preserve"> </w:t>
      </w:r>
      <w:r w:rsidR="00A43F5E">
        <w:rPr>
          <w:rFonts w:asciiTheme="majorHAnsi" w:hAnsiTheme="majorHAnsi" w:cs="Arial"/>
        </w:rPr>
        <w:t>П</w:t>
      </w:r>
      <w:r>
        <w:rPr>
          <w:rFonts w:asciiTheme="majorHAnsi" w:hAnsiTheme="majorHAnsi" w:cs="Arial"/>
        </w:rPr>
        <w:t xml:space="preserve">оради </w:t>
      </w:r>
      <w:r w:rsidR="00A43F5E">
        <w:rPr>
          <w:rFonts w:asciiTheme="majorHAnsi" w:hAnsiTheme="majorHAnsi" w:cs="Arial"/>
        </w:rPr>
        <w:t>това те</w:t>
      </w:r>
      <w:r>
        <w:rPr>
          <w:rFonts w:asciiTheme="majorHAnsi" w:hAnsiTheme="majorHAnsi" w:cs="Arial"/>
        </w:rPr>
        <w:t xml:space="preserve"> са по-леки, отколкото съдът би наложил в общия </w:t>
      </w:r>
      <w:r w:rsidRPr="00716F7B">
        <w:rPr>
          <w:rFonts w:ascii="Cambria" w:hAnsi="Cambria" w:cs="Arial"/>
        </w:rPr>
        <w:t>наказателен процес за извършеното престъпление. Това съдебно снизхождение допълнително намалява основателността на аргумента на молителя за прекомерност на репресията.</w:t>
      </w:r>
      <w:r w:rsidRPr="00716F7B">
        <w:rPr>
          <w:rFonts w:ascii="Cambria" w:hAnsi="Cambria"/>
        </w:rPr>
        <w:t xml:space="preserve"> </w:t>
      </w:r>
    </w:p>
    <w:p w:rsidR="00A43F5E" w:rsidRDefault="00A43F5E" w:rsidP="00FB746B">
      <w:pPr>
        <w:ind w:firstLine="708"/>
        <w:jc w:val="both"/>
        <w:rPr>
          <w:rFonts w:ascii="Cambria" w:hAnsi="Cambria"/>
        </w:rPr>
      </w:pPr>
      <w:r>
        <w:rPr>
          <w:rFonts w:asciiTheme="majorHAnsi" w:hAnsiTheme="majorHAnsi" w:cs="Arial"/>
        </w:rPr>
        <w:t>Относително увеличен е и делът на случаите, в които молбата е отхвърлена, тъй като твърденията в нея са опровергани от установените по случая факти (</w:t>
      </w:r>
      <w:r w:rsidRPr="00A43F5E">
        <w:rPr>
          <w:rFonts w:asciiTheme="majorHAnsi" w:hAnsiTheme="majorHAnsi" w:cs="Arial"/>
        </w:rPr>
        <w:t>недоказаност</w:t>
      </w:r>
      <w:r>
        <w:rPr>
          <w:rFonts w:asciiTheme="majorHAnsi" w:hAnsiTheme="majorHAnsi" w:cs="Arial"/>
        </w:rPr>
        <w:t>). Групата на недоказаните молби почти изцяло се обхваща от групата на молбите, в които се сочат хуманитарни обстоятелства.</w:t>
      </w:r>
    </w:p>
    <w:p w:rsidR="002B0E05" w:rsidRDefault="00A43F5E" w:rsidP="003943C6">
      <w:pPr>
        <w:ind w:firstLine="708"/>
        <w:jc w:val="both"/>
        <w:rPr>
          <w:rFonts w:asciiTheme="majorHAnsi" w:hAnsiTheme="majorHAnsi" w:cs="Arial"/>
        </w:rPr>
      </w:pPr>
      <w:r>
        <w:rPr>
          <w:rFonts w:asciiTheme="majorHAnsi" w:hAnsiTheme="majorHAnsi" w:cs="Arial"/>
        </w:rPr>
        <w:t xml:space="preserve">Като цяло, </w:t>
      </w:r>
      <w:r w:rsidR="005F6CDF" w:rsidRPr="00F905F4">
        <w:rPr>
          <w:rFonts w:asciiTheme="majorHAnsi" w:hAnsiTheme="majorHAnsi" w:cs="Arial"/>
        </w:rPr>
        <w:t xml:space="preserve">Комисията се е произнесла с предложение за отказ от помилване, </w:t>
      </w:r>
      <w:r>
        <w:rPr>
          <w:rFonts w:asciiTheme="majorHAnsi" w:hAnsiTheme="majorHAnsi" w:cs="Arial"/>
        </w:rPr>
        <w:t>когато</w:t>
      </w:r>
      <w:r w:rsidR="00880DB2" w:rsidRPr="00F905F4">
        <w:rPr>
          <w:rFonts w:asciiTheme="majorHAnsi" w:hAnsiTheme="majorHAnsi" w:cs="Arial"/>
        </w:rPr>
        <w:t xml:space="preserve"> </w:t>
      </w:r>
      <w:r w:rsidR="005F6CDF" w:rsidRPr="00F905F4">
        <w:rPr>
          <w:rFonts w:asciiTheme="majorHAnsi" w:hAnsiTheme="majorHAnsi" w:cs="Arial"/>
        </w:rPr>
        <w:t xml:space="preserve">е достигнала до заключението, че помилването би представлявало омаловажаване на тежестта на извършеното и пренебрегване на опасността, която осъденият продължава да представлява за обществото, като </w:t>
      </w:r>
      <w:r w:rsidR="006A7EAD">
        <w:rPr>
          <w:rFonts w:asciiTheme="majorHAnsi" w:hAnsiTheme="majorHAnsi" w:cs="Arial"/>
        </w:rPr>
        <w:t>н</w:t>
      </w:r>
      <w:r w:rsidR="006A7EAD" w:rsidRPr="00F905F4">
        <w:rPr>
          <w:rFonts w:asciiTheme="majorHAnsi" w:hAnsiTheme="majorHAnsi" w:cs="Arial"/>
        </w:rPr>
        <w:t xml:space="preserve">е са </w:t>
      </w:r>
      <w:r w:rsidR="006A7EAD">
        <w:rPr>
          <w:rFonts w:asciiTheme="majorHAnsi" w:hAnsiTheme="majorHAnsi" w:cs="Arial"/>
        </w:rPr>
        <w:t>налице</w:t>
      </w:r>
      <w:r w:rsidR="006A7EAD" w:rsidRPr="00F905F4">
        <w:rPr>
          <w:rFonts w:asciiTheme="majorHAnsi" w:hAnsiTheme="majorHAnsi" w:cs="Arial"/>
        </w:rPr>
        <w:t xml:space="preserve"> изключителни обстоятелства, които да правят изтърпяването на наказанието през остатъка му прекомерно или нецелесъобразно.</w:t>
      </w:r>
      <w:r w:rsidR="00632365">
        <w:rPr>
          <w:rFonts w:asciiTheme="majorHAnsi" w:hAnsiTheme="majorHAnsi" w:cs="Arial"/>
        </w:rPr>
        <w:t xml:space="preserve"> Най-често след постановяване на присъдата не са настъпвали никакви обстоятелства от естество да направят наказанието непропорционално тежко, поради което помилването би представлявало юридическа преоценка на същите факти, въз основа на които съдът е определил наказанието. Такова действие би представлявало ревизия на съдебния акт, с която се нарушава независимостта на съдебната власт, на която е конституционно възложено да осъществява правосъдието.</w:t>
      </w:r>
    </w:p>
    <w:p w:rsidR="002B0E05" w:rsidRDefault="00632365" w:rsidP="005F6CDF">
      <w:pPr>
        <w:ind w:firstLine="708"/>
        <w:jc w:val="both"/>
        <w:rPr>
          <w:rFonts w:asciiTheme="majorHAnsi" w:hAnsiTheme="majorHAnsi" w:cs="Arial"/>
        </w:rPr>
      </w:pPr>
      <w:r>
        <w:rPr>
          <w:rFonts w:asciiTheme="majorHAnsi" w:hAnsiTheme="majorHAnsi" w:cs="Arial"/>
        </w:rPr>
        <w:t xml:space="preserve">В </w:t>
      </w:r>
      <w:r w:rsidR="00FB746B">
        <w:rPr>
          <w:rFonts w:asciiTheme="majorHAnsi" w:hAnsiTheme="majorHAnsi" w:cs="Arial"/>
        </w:rPr>
        <w:t>12</w:t>
      </w:r>
      <w:r w:rsidR="0049116B">
        <w:rPr>
          <w:rFonts w:asciiTheme="majorHAnsi" w:hAnsiTheme="majorHAnsi" w:cs="Arial"/>
        </w:rPr>
        <w:t> % от случаите е установено</w:t>
      </w:r>
      <w:r w:rsidR="00FB746B">
        <w:rPr>
          <w:rFonts w:asciiTheme="majorHAnsi" w:hAnsiTheme="majorHAnsi" w:cs="Arial"/>
        </w:rPr>
        <w:t xml:space="preserve"> още</w:t>
      </w:r>
      <w:r w:rsidR="006A7EAD">
        <w:rPr>
          <w:rFonts w:asciiTheme="majorHAnsi" w:hAnsiTheme="majorHAnsi" w:cs="Arial"/>
        </w:rPr>
        <w:t xml:space="preserve">, че </w:t>
      </w:r>
      <w:r w:rsidR="005F6CDF" w:rsidRPr="00F905F4">
        <w:rPr>
          <w:rFonts w:asciiTheme="majorHAnsi" w:hAnsiTheme="majorHAnsi" w:cs="Arial"/>
        </w:rPr>
        <w:t>действащата наказателна и наказателно-изпълнителна система съдържа</w:t>
      </w:r>
      <w:r w:rsidR="00F70525">
        <w:rPr>
          <w:rFonts w:asciiTheme="majorHAnsi" w:hAnsiTheme="majorHAnsi" w:cs="Arial"/>
        </w:rPr>
        <w:t>т</w:t>
      </w:r>
      <w:r w:rsidR="005F6CDF" w:rsidRPr="00F905F4">
        <w:rPr>
          <w:rFonts w:asciiTheme="majorHAnsi" w:hAnsiTheme="majorHAnsi" w:cs="Arial"/>
        </w:rPr>
        <w:t xml:space="preserve"> множество средства за облекчаване на репресията, от които осъденият може да се ползва</w:t>
      </w:r>
      <w:r w:rsidR="00FB746B">
        <w:rPr>
          <w:rFonts w:asciiTheme="majorHAnsi" w:hAnsiTheme="majorHAnsi" w:cs="Arial"/>
        </w:rPr>
        <w:t xml:space="preserve"> и които са по-подходящи от помилването</w:t>
      </w:r>
      <w:r w:rsidR="005F6CDF" w:rsidRPr="00F905F4">
        <w:rPr>
          <w:rFonts w:asciiTheme="majorHAnsi" w:hAnsiTheme="majorHAnsi" w:cs="Arial"/>
        </w:rPr>
        <w:t>.</w:t>
      </w:r>
      <w:r w:rsidR="00010E90" w:rsidRPr="00F905F4">
        <w:rPr>
          <w:rFonts w:asciiTheme="majorHAnsi" w:hAnsiTheme="majorHAnsi" w:cs="Arial"/>
        </w:rPr>
        <w:t xml:space="preserve"> </w:t>
      </w:r>
    </w:p>
    <w:p w:rsidR="0049116B" w:rsidRDefault="0049116B" w:rsidP="005F6CDF">
      <w:pPr>
        <w:ind w:firstLine="708"/>
        <w:jc w:val="both"/>
        <w:rPr>
          <w:rFonts w:asciiTheme="majorHAnsi" w:hAnsiTheme="majorHAnsi" w:cs="Arial"/>
        </w:rPr>
      </w:pPr>
      <w:r>
        <w:rPr>
          <w:rFonts w:asciiTheme="majorHAnsi" w:hAnsiTheme="majorHAnsi" w:cs="Arial"/>
        </w:rPr>
        <w:t>При молителите с устойчив или ескалиращ престъпен модел Комисията е установила, че</w:t>
      </w:r>
      <w:r w:rsidRPr="00F905F4">
        <w:rPr>
          <w:rFonts w:asciiTheme="majorHAnsi" w:hAnsiTheme="majorHAnsi"/>
        </w:rPr>
        <w:t xml:space="preserve"> н</w:t>
      </w:r>
      <w:r w:rsidRPr="00F905F4">
        <w:rPr>
          <w:rFonts w:asciiTheme="majorHAnsi" w:hAnsiTheme="majorHAnsi" w:cs="Arial"/>
        </w:rPr>
        <w:t>агласите, довели до извършване на престъплението, са съхранени</w:t>
      </w:r>
      <w:r>
        <w:rPr>
          <w:rFonts w:asciiTheme="majorHAnsi" w:hAnsiTheme="majorHAnsi" w:cs="Arial"/>
        </w:rPr>
        <w:t>, при отказ на съответния молител да се разграничи от извършеното или липса на ресурси и мотивация у него за тяхната промяна</w:t>
      </w:r>
      <w:r w:rsidRPr="00F905F4">
        <w:rPr>
          <w:rFonts w:asciiTheme="majorHAnsi" w:hAnsiTheme="majorHAnsi" w:cs="Arial"/>
        </w:rPr>
        <w:t xml:space="preserve">. </w:t>
      </w:r>
      <w:r>
        <w:rPr>
          <w:rFonts w:asciiTheme="majorHAnsi" w:hAnsiTheme="majorHAnsi" w:cs="Arial"/>
        </w:rPr>
        <w:t>Рискът от рецидив в тези групи молители е висок или среден към висок.</w:t>
      </w:r>
    </w:p>
    <w:p w:rsidR="00D53237" w:rsidRDefault="00D53237" w:rsidP="00F17535">
      <w:pPr>
        <w:ind w:firstLine="708"/>
        <w:jc w:val="both"/>
        <w:rPr>
          <w:rFonts w:asciiTheme="majorHAnsi" w:hAnsiTheme="majorHAnsi" w:cs="Arial"/>
        </w:rPr>
      </w:pPr>
    </w:p>
    <w:p w:rsidR="001F67EB" w:rsidRPr="00F905F4" w:rsidRDefault="00AF7962" w:rsidP="007565E2">
      <w:pPr>
        <w:jc w:val="center"/>
        <w:rPr>
          <w:rFonts w:asciiTheme="majorHAnsi" w:hAnsiTheme="majorHAnsi"/>
          <w:b/>
        </w:rPr>
      </w:pPr>
      <w:r>
        <w:rPr>
          <w:rFonts w:asciiTheme="majorHAnsi" w:hAnsiTheme="majorHAnsi"/>
          <w:b/>
        </w:rPr>
        <w:t>3</w:t>
      </w:r>
      <w:r w:rsidR="001F67EB" w:rsidRPr="00F905F4">
        <w:rPr>
          <w:rFonts w:asciiTheme="majorHAnsi" w:hAnsiTheme="majorHAnsi"/>
          <w:b/>
        </w:rPr>
        <w:t>.3</w:t>
      </w:r>
      <w:r w:rsidR="007565E2">
        <w:rPr>
          <w:rFonts w:asciiTheme="majorHAnsi" w:hAnsiTheme="majorHAnsi"/>
          <w:b/>
        </w:rPr>
        <w:t>.</w:t>
      </w:r>
      <w:r w:rsidR="001F67EB" w:rsidRPr="00F905F4">
        <w:rPr>
          <w:rFonts w:asciiTheme="majorHAnsi" w:hAnsiTheme="majorHAnsi"/>
          <w:b/>
        </w:rPr>
        <w:t xml:space="preserve"> ПРЕДЛОЖЕНИЯ ЗА ПОМИЛВАНЕ</w:t>
      </w:r>
    </w:p>
    <w:p w:rsidR="009C3004" w:rsidRDefault="009C3004" w:rsidP="001F67EB">
      <w:pPr>
        <w:ind w:firstLine="709"/>
        <w:jc w:val="both"/>
        <w:rPr>
          <w:rFonts w:asciiTheme="majorHAnsi" w:hAnsiTheme="majorHAnsi"/>
        </w:rPr>
      </w:pPr>
    </w:p>
    <w:p w:rsidR="009D21D2" w:rsidRPr="00312779" w:rsidRDefault="009D21D2" w:rsidP="009D21D2">
      <w:pPr>
        <w:pStyle w:val="ListParagraph"/>
        <w:ind w:left="0" w:firstLine="708"/>
        <w:jc w:val="both"/>
        <w:rPr>
          <w:rFonts w:asciiTheme="majorHAnsi" w:hAnsiTheme="majorHAnsi"/>
        </w:rPr>
      </w:pPr>
      <w:r w:rsidRPr="00312779">
        <w:rPr>
          <w:rFonts w:asciiTheme="majorHAnsi" w:hAnsiTheme="majorHAnsi"/>
        </w:rPr>
        <w:t xml:space="preserve">През </w:t>
      </w:r>
      <w:r w:rsidR="00622AB9">
        <w:rPr>
          <w:rFonts w:asciiTheme="majorHAnsi" w:hAnsiTheme="majorHAnsi"/>
        </w:rPr>
        <w:t>отчетния период</w:t>
      </w:r>
      <w:r w:rsidRPr="00312779">
        <w:rPr>
          <w:rFonts w:asciiTheme="majorHAnsi" w:hAnsiTheme="majorHAnsi"/>
        </w:rPr>
        <w:t xml:space="preserve"> Комисията е направила </w:t>
      </w:r>
      <w:r w:rsidR="00A43F5E">
        <w:rPr>
          <w:rFonts w:asciiTheme="majorHAnsi" w:hAnsiTheme="majorHAnsi"/>
        </w:rPr>
        <w:t>3</w:t>
      </w:r>
      <w:r w:rsidRPr="00312779">
        <w:rPr>
          <w:rFonts w:asciiTheme="majorHAnsi" w:hAnsiTheme="majorHAnsi"/>
        </w:rPr>
        <w:t xml:space="preserve"> предложения за помилване, от които </w:t>
      </w:r>
      <w:r w:rsidR="00C24FCA">
        <w:rPr>
          <w:rFonts w:asciiTheme="majorHAnsi" w:hAnsiTheme="majorHAnsi"/>
        </w:rPr>
        <w:t>2</w:t>
      </w:r>
      <w:r w:rsidRPr="00312779">
        <w:rPr>
          <w:rFonts w:asciiTheme="majorHAnsi" w:hAnsiTheme="majorHAnsi"/>
        </w:rPr>
        <w:t xml:space="preserve"> </w:t>
      </w:r>
      <w:r w:rsidR="00C24FCA">
        <w:rPr>
          <w:rFonts w:asciiTheme="majorHAnsi" w:hAnsiTheme="majorHAnsi"/>
        </w:rPr>
        <w:t>са</w:t>
      </w:r>
      <w:r w:rsidRPr="00312779">
        <w:rPr>
          <w:rFonts w:asciiTheme="majorHAnsi" w:hAnsiTheme="majorHAnsi"/>
        </w:rPr>
        <w:t xml:space="preserve"> бил</w:t>
      </w:r>
      <w:r w:rsidR="00C24FCA">
        <w:rPr>
          <w:rFonts w:asciiTheme="majorHAnsi" w:hAnsiTheme="majorHAnsi"/>
        </w:rPr>
        <w:t>и</w:t>
      </w:r>
      <w:r w:rsidRPr="00312779">
        <w:rPr>
          <w:rFonts w:asciiTheme="majorHAnsi" w:hAnsiTheme="majorHAnsi"/>
        </w:rPr>
        <w:t xml:space="preserve"> уважен</w:t>
      </w:r>
      <w:r w:rsidR="00C24FCA">
        <w:rPr>
          <w:rFonts w:asciiTheme="majorHAnsi" w:hAnsiTheme="majorHAnsi"/>
        </w:rPr>
        <w:t>и</w:t>
      </w:r>
      <w:r w:rsidR="006E15FC">
        <w:rPr>
          <w:rFonts w:asciiTheme="majorHAnsi" w:hAnsiTheme="majorHAnsi"/>
        </w:rPr>
        <w:t xml:space="preserve"> (следва извлечение от </w:t>
      </w:r>
      <w:r w:rsidR="001F25D6">
        <w:rPr>
          <w:rFonts w:asciiTheme="majorHAnsi" w:hAnsiTheme="majorHAnsi"/>
        </w:rPr>
        <w:t>м</w:t>
      </w:r>
      <w:r w:rsidR="006E15FC">
        <w:rPr>
          <w:rFonts w:asciiTheme="majorHAnsi" w:hAnsiTheme="majorHAnsi"/>
        </w:rPr>
        <w:t>отивите на Комисията)</w:t>
      </w:r>
      <w:r w:rsidR="00312779" w:rsidRPr="00312779">
        <w:rPr>
          <w:rFonts w:asciiTheme="majorHAnsi" w:hAnsiTheme="majorHAnsi"/>
        </w:rPr>
        <w:t>.</w:t>
      </w:r>
      <w:r w:rsidRPr="00312779">
        <w:rPr>
          <w:rFonts w:asciiTheme="majorHAnsi" w:hAnsiTheme="majorHAnsi"/>
        </w:rPr>
        <w:t xml:space="preserve"> </w:t>
      </w:r>
    </w:p>
    <w:p w:rsidR="00366878" w:rsidRDefault="00DA4D3B" w:rsidP="00366878">
      <w:pPr>
        <w:ind w:firstLine="538"/>
        <w:jc w:val="both"/>
        <w:rPr>
          <w:rFonts w:asciiTheme="majorHAnsi" w:hAnsiTheme="majorHAnsi"/>
        </w:rPr>
      </w:pPr>
      <w:r w:rsidRPr="00C16B5C">
        <w:rPr>
          <w:b/>
        </w:rPr>
        <w:t>3.</w:t>
      </w:r>
      <w:r w:rsidR="00C16B5C" w:rsidRPr="00C16B5C">
        <w:rPr>
          <w:b/>
          <w:lang w:val="en-US"/>
        </w:rPr>
        <w:t>1</w:t>
      </w:r>
      <w:r w:rsidRPr="00C16B5C">
        <w:rPr>
          <w:b/>
        </w:rPr>
        <w:t>.</w:t>
      </w:r>
      <w:r w:rsidR="00C24FCA">
        <w:rPr>
          <w:rFonts w:asciiTheme="majorHAnsi" w:hAnsiTheme="majorHAnsi"/>
        </w:rPr>
        <w:t xml:space="preserve"> </w:t>
      </w:r>
      <w:r w:rsidR="00695226">
        <w:rPr>
          <w:rFonts w:asciiTheme="majorHAnsi" w:hAnsiTheme="majorHAnsi"/>
        </w:rPr>
        <w:t>Молителката е 70-годишна, двукратно осъдена на лишаване от свобода за срок по 3 месеца за притежание на цигари без бандерол. Второто престъпление е извършено в изпитателния срок на условното осъждане за първото, поради за молителката е възникнало задължение да изтърпи двете 3-месечни наказания последователно.</w:t>
      </w:r>
      <w:r w:rsidR="00AE6BF7">
        <w:rPr>
          <w:rFonts w:asciiTheme="majorHAnsi" w:hAnsiTheme="majorHAnsi"/>
          <w:lang w:val="en-US"/>
        </w:rPr>
        <w:t xml:space="preserve"> </w:t>
      </w:r>
      <w:r w:rsidR="00AE6BF7">
        <w:rPr>
          <w:rFonts w:asciiTheme="majorHAnsi" w:hAnsiTheme="majorHAnsi"/>
        </w:rPr>
        <w:t xml:space="preserve">Молителката е с множество заболявания и </w:t>
      </w:r>
      <w:r w:rsidR="00017FD7">
        <w:rPr>
          <w:rFonts w:asciiTheme="majorHAnsi" w:hAnsiTheme="majorHAnsi"/>
        </w:rPr>
        <w:t xml:space="preserve">обективно </w:t>
      </w:r>
      <w:r w:rsidR="00AE6BF7">
        <w:rPr>
          <w:rFonts w:asciiTheme="majorHAnsi" w:hAnsiTheme="majorHAnsi"/>
        </w:rPr>
        <w:t xml:space="preserve">е единственото лице, което </w:t>
      </w:r>
      <w:r w:rsidR="00017FD7">
        <w:rPr>
          <w:rFonts w:asciiTheme="majorHAnsi" w:hAnsiTheme="majorHAnsi"/>
        </w:rPr>
        <w:t>може да оказва необходимите</w:t>
      </w:r>
      <w:r w:rsidR="00AE6BF7">
        <w:rPr>
          <w:rFonts w:asciiTheme="majorHAnsi" w:hAnsiTheme="majorHAnsi"/>
        </w:rPr>
        <w:t xml:space="preserve"> животоподдържащи грижи за дъщеря си, страдаща от тежко душевно заболяване. Прокуратурата е отложила изпълнението на наказанията с изричен мотив, че привеждането им в изпълнение застрашава живота и здравето на </w:t>
      </w:r>
      <w:r w:rsidR="00017FD7">
        <w:rPr>
          <w:rFonts w:asciiTheme="majorHAnsi" w:hAnsiTheme="majorHAnsi"/>
        </w:rPr>
        <w:t>болната</w:t>
      </w:r>
      <w:r w:rsidR="00AE6BF7">
        <w:rPr>
          <w:rFonts w:asciiTheme="majorHAnsi" w:hAnsiTheme="majorHAnsi"/>
        </w:rPr>
        <w:t>.</w:t>
      </w:r>
    </w:p>
    <w:p w:rsidR="00AE6BF7" w:rsidRDefault="00AE6BF7" w:rsidP="00AE6BF7">
      <w:pPr>
        <w:ind w:firstLine="720"/>
        <w:jc w:val="both"/>
        <w:rPr>
          <w:rFonts w:asciiTheme="majorHAnsi" w:hAnsiTheme="majorHAnsi"/>
        </w:rPr>
      </w:pPr>
      <w:r>
        <w:rPr>
          <w:rFonts w:asciiTheme="majorHAnsi" w:hAnsiTheme="majorHAnsi"/>
        </w:rPr>
        <w:t xml:space="preserve">Комисията е предложила пълно помилване със следните аргументи. </w:t>
      </w:r>
    </w:p>
    <w:p w:rsidR="00AE6BF7" w:rsidRDefault="001F25D6" w:rsidP="00AE6BF7">
      <w:pPr>
        <w:ind w:firstLine="720"/>
        <w:jc w:val="both"/>
        <w:rPr>
          <w:rFonts w:asciiTheme="majorHAnsi" w:hAnsiTheme="majorHAnsi"/>
        </w:rPr>
      </w:pPr>
      <w:r>
        <w:rPr>
          <w:rFonts w:asciiTheme="majorHAnsi" w:hAnsiTheme="majorHAnsi"/>
        </w:rPr>
        <w:t>О</w:t>
      </w:r>
      <w:r w:rsidR="00AE6BF7">
        <w:rPr>
          <w:rFonts w:asciiTheme="majorHAnsi" w:hAnsiTheme="majorHAnsi"/>
        </w:rPr>
        <w:t>снования за помилване са</w:t>
      </w:r>
      <w:r w:rsidR="00AE6BF7" w:rsidRPr="00AE6BF7">
        <w:rPr>
          <w:rFonts w:asciiTheme="majorHAnsi" w:hAnsiTheme="majorHAnsi"/>
        </w:rPr>
        <w:t xml:space="preserve"> семейни обстоятелства, които съдът не може да съобразява като изключващи наказателната отговорност на осъдената.</w:t>
      </w:r>
      <w:r w:rsidR="00AE6BF7">
        <w:rPr>
          <w:rFonts w:asciiTheme="majorHAnsi" w:hAnsiTheme="majorHAnsi"/>
        </w:rPr>
        <w:t xml:space="preserve"> </w:t>
      </w:r>
    </w:p>
    <w:p w:rsidR="00AE6BF7" w:rsidRPr="00AE6BF7" w:rsidRDefault="001F25D6" w:rsidP="00017FD7">
      <w:pPr>
        <w:ind w:firstLine="720"/>
        <w:jc w:val="both"/>
        <w:rPr>
          <w:rFonts w:asciiTheme="majorHAnsi" w:hAnsiTheme="majorHAnsi"/>
        </w:rPr>
      </w:pPr>
      <w:r>
        <w:rPr>
          <w:rFonts w:asciiTheme="majorHAnsi" w:hAnsiTheme="majorHAnsi"/>
        </w:rPr>
        <w:t>П</w:t>
      </w:r>
      <w:r w:rsidR="00AE6BF7">
        <w:rPr>
          <w:rFonts w:asciiTheme="majorHAnsi" w:hAnsiTheme="majorHAnsi"/>
        </w:rPr>
        <w:t xml:space="preserve">омилването се </w:t>
      </w:r>
      <w:r w:rsidR="00AE6BF7" w:rsidRPr="00AE6BF7">
        <w:rPr>
          <w:rFonts w:asciiTheme="majorHAnsi" w:hAnsiTheme="majorHAnsi"/>
        </w:rPr>
        <w:t xml:space="preserve">предлага с оглед важни интереси на трето лице, което спада към уязвимата група на лица с увреждания, намиращи се поради прогресиращо заболяване в безпомощно състояние. </w:t>
      </w:r>
      <w:r w:rsidR="00AE6BF7">
        <w:rPr>
          <w:rFonts w:asciiTheme="majorHAnsi" w:hAnsiTheme="majorHAnsi"/>
        </w:rPr>
        <w:t>Ж</w:t>
      </w:r>
      <w:r w:rsidR="00AE6BF7" w:rsidRPr="00AE6BF7">
        <w:rPr>
          <w:rFonts w:asciiTheme="majorHAnsi" w:hAnsiTheme="majorHAnsi"/>
        </w:rPr>
        <w:t xml:space="preserve">ивотоподдържащата грижа, оказвана от осъдената, </w:t>
      </w:r>
      <w:r w:rsidR="00AE6BF7">
        <w:rPr>
          <w:rFonts w:asciiTheme="majorHAnsi" w:hAnsiTheme="majorHAnsi"/>
        </w:rPr>
        <w:t xml:space="preserve">не </w:t>
      </w:r>
      <w:r w:rsidR="00AE6BF7" w:rsidRPr="00AE6BF7">
        <w:rPr>
          <w:rFonts w:asciiTheme="majorHAnsi" w:hAnsiTheme="majorHAnsi"/>
        </w:rPr>
        <w:t xml:space="preserve">може да бъде поета от трето лице или държавен орган в разумен срок. По местоживеене на болната липсват приложими към нейния случай социални и здравни услуги. Липсва възможност такива да бъдат дистанционно доставени или болната да бъде преместена. Съдебното производство по поставянето ѝ под запрещение все още не е започнало. </w:t>
      </w:r>
      <w:r>
        <w:rPr>
          <w:rFonts w:asciiTheme="majorHAnsi" w:hAnsiTheme="majorHAnsi"/>
        </w:rPr>
        <w:t xml:space="preserve">Осъдената е положила усилия за използване на много житейски възможности за осигуряване интересите на болната. Налице е трайно установяване на изключителна житейска ситуация. </w:t>
      </w:r>
    </w:p>
    <w:p w:rsidR="00017FD7" w:rsidRDefault="00017FD7" w:rsidP="006E15FC">
      <w:pPr>
        <w:ind w:firstLine="538"/>
        <w:jc w:val="both"/>
        <w:rPr>
          <w:rFonts w:asciiTheme="majorHAnsi" w:hAnsiTheme="majorHAnsi"/>
          <w:b/>
        </w:rPr>
      </w:pPr>
      <w:r w:rsidRPr="00017FD7">
        <w:rPr>
          <w:rFonts w:asciiTheme="majorHAnsi" w:hAnsiTheme="majorHAnsi"/>
        </w:rPr>
        <w:t xml:space="preserve">Молителката е помилвана изцяло с наложените ѝ наказания с </w:t>
      </w:r>
      <w:r>
        <w:rPr>
          <w:rFonts w:asciiTheme="majorHAnsi" w:hAnsiTheme="majorHAnsi"/>
          <w:b/>
        </w:rPr>
        <w:t>Указ №44 / 07.06.2016 г.</w:t>
      </w:r>
    </w:p>
    <w:p w:rsidR="006E15FC" w:rsidRPr="00866788" w:rsidRDefault="00C16B5C" w:rsidP="006E15FC">
      <w:pPr>
        <w:ind w:firstLine="538"/>
        <w:jc w:val="both"/>
        <w:rPr>
          <w:rFonts w:asciiTheme="majorHAnsi" w:hAnsiTheme="majorHAnsi"/>
        </w:rPr>
      </w:pPr>
      <w:r w:rsidRPr="00866788">
        <w:rPr>
          <w:rFonts w:asciiTheme="majorHAnsi" w:hAnsiTheme="majorHAnsi"/>
          <w:b/>
          <w:lang w:val="en-US"/>
        </w:rPr>
        <w:t>3.2.</w:t>
      </w:r>
      <w:r w:rsidR="001749DF" w:rsidRPr="00866788">
        <w:rPr>
          <w:rFonts w:asciiTheme="majorHAnsi" w:hAnsiTheme="majorHAnsi"/>
        </w:rPr>
        <w:t> </w:t>
      </w:r>
      <w:r w:rsidR="00366878" w:rsidRPr="00866788">
        <w:rPr>
          <w:rFonts w:asciiTheme="majorHAnsi" w:hAnsiTheme="majorHAnsi"/>
        </w:rPr>
        <w:t>Молителят е 67-годишен гражданин</w:t>
      </w:r>
      <w:r w:rsidR="00FF15EC" w:rsidRPr="00866788">
        <w:rPr>
          <w:rFonts w:asciiTheme="majorHAnsi" w:hAnsiTheme="majorHAnsi"/>
        </w:rPr>
        <w:t xml:space="preserve"> със средно образование</w:t>
      </w:r>
      <w:r w:rsidR="00366878" w:rsidRPr="00866788">
        <w:rPr>
          <w:rFonts w:asciiTheme="majorHAnsi" w:hAnsiTheme="majorHAnsi"/>
        </w:rPr>
        <w:t xml:space="preserve">, осъден на 11 години лишване от свобода за убийството на съпругата си, извършено в състояние на афект. </w:t>
      </w:r>
      <w:r w:rsidR="006E15FC" w:rsidRPr="00866788">
        <w:rPr>
          <w:rFonts w:asciiTheme="majorHAnsi" w:hAnsiTheme="majorHAnsi"/>
        </w:rPr>
        <w:t>Афектът</w:t>
      </w:r>
      <w:r w:rsidR="00366878" w:rsidRPr="00866788">
        <w:rPr>
          <w:rFonts w:asciiTheme="majorHAnsi" w:hAnsiTheme="majorHAnsi"/>
        </w:rPr>
        <w:t xml:space="preserve"> бил предизвикан от пострадалата, поведението на която през последните месеци било повлияно от недиагностицирано преживе душевно заболяване и се изразявало в постоянен психичен тормоз над дееца.</w:t>
      </w:r>
      <w:r w:rsidR="006E15FC" w:rsidRPr="00866788">
        <w:rPr>
          <w:rFonts w:asciiTheme="majorHAnsi" w:hAnsiTheme="majorHAnsi"/>
        </w:rPr>
        <w:t xml:space="preserve"> Към момента на предложението за помилване той е изтърпял близо 4 години от наказанието. Комисията предложила да бъде помилван с целия остатък, като се обосновала със следните съображения.</w:t>
      </w:r>
    </w:p>
    <w:p w:rsidR="00F44E6A" w:rsidRPr="00866788" w:rsidRDefault="00C16B5C" w:rsidP="00F44E6A">
      <w:pPr>
        <w:ind w:firstLine="538"/>
        <w:jc w:val="both"/>
        <w:rPr>
          <w:rFonts w:asciiTheme="majorHAnsi" w:hAnsiTheme="majorHAnsi"/>
        </w:rPr>
      </w:pPr>
      <w:r w:rsidRPr="00866788">
        <w:rPr>
          <w:rFonts w:asciiTheme="majorHAnsi" w:hAnsiTheme="majorHAnsi"/>
        </w:rPr>
        <w:t xml:space="preserve">Извършеното тежко престъпление е изолирана и ситуативна проява в живота на осъдения, резултат на продължително струпване на множество специфични обстоятелства. Признак за невисоката опасност на дееца и деянието е именно дългата продължителност на провокативното поведение </w:t>
      </w:r>
      <w:r w:rsidR="00F44E6A" w:rsidRPr="00866788">
        <w:rPr>
          <w:rFonts w:asciiTheme="majorHAnsi" w:hAnsiTheme="majorHAnsi"/>
        </w:rPr>
        <w:t xml:space="preserve">на пострадалата </w:t>
      </w:r>
      <w:r w:rsidRPr="00866788">
        <w:rPr>
          <w:rFonts w:asciiTheme="majorHAnsi" w:hAnsiTheme="majorHAnsi"/>
        </w:rPr>
        <w:t xml:space="preserve">и разнообразните стратегии, използвани от молителя за справяне с него (временно напускане на дома, търпеливо понасяне на </w:t>
      </w:r>
      <w:r w:rsidR="00F44E6A" w:rsidRPr="00866788">
        <w:rPr>
          <w:rFonts w:asciiTheme="majorHAnsi" w:hAnsiTheme="majorHAnsi"/>
        </w:rPr>
        <w:t>провокациите</w:t>
      </w:r>
      <w:r w:rsidRPr="00866788">
        <w:rPr>
          <w:rFonts w:asciiTheme="majorHAnsi" w:hAnsiTheme="majorHAnsi"/>
        </w:rPr>
        <w:t xml:space="preserve"> и т.н.). Причината за престъплението не е в традиционно лоши съпружески отношения или насилствен стил на поведение на молителя, който през целия си брак с пострадалата ѝ е оказвал пълна помощ и подкрепа, включително с оглед здравословното ѝ състояние.</w:t>
      </w:r>
    </w:p>
    <w:p w:rsidR="001749DF" w:rsidRPr="00866788" w:rsidRDefault="00C16B5C" w:rsidP="001749DF">
      <w:pPr>
        <w:ind w:firstLine="538"/>
        <w:jc w:val="both"/>
        <w:rPr>
          <w:rFonts w:asciiTheme="majorHAnsi" w:hAnsiTheme="majorHAnsi"/>
        </w:rPr>
      </w:pPr>
      <w:r w:rsidRPr="00866788">
        <w:rPr>
          <w:rFonts w:asciiTheme="majorHAnsi" w:hAnsiTheme="majorHAnsi"/>
        </w:rPr>
        <w:t xml:space="preserve">Рискът от рецидив е изключително нисък. Налице са </w:t>
      </w:r>
      <w:r w:rsidR="00F44E6A" w:rsidRPr="00866788">
        <w:rPr>
          <w:rFonts w:asciiTheme="majorHAnsi" w:hAnsiTheme="majorHAnsi"/>
        </w:rPr>
        <w:t>изобилни данни за разкаянието на молителя (който веднага след убийството се предал на властите) и</w:t>
      </w:r>
      <w:r w:rsidRPr="00866788">
        <w:rPr>
          <w:rFonts w:asciiTheme="majorHAnsi" w:hAnsiTheme="majorHAnsi"/>
        </w:rPr>
        <w:t xml:space="preserve"> успешно завършил корекционен процес и постигнати целите на наказанието. Не е обосновано да се очаква рецидив на молителя и поради изключителната специфика на факторите, отключили престъплението.</w:t>
      </w:r>
    </w:p>
    <w:p w:rsidR="001749DF" w:rsidRPr="00866788" w:rsidRDefault="00C16B5C" w:rsidP="001749DF">
      <w:pPr>
        <w:ind w:firstLine="538"/>
        <w:jc w:val="both"/>
        <w:rPr>
          <w:rFonts w:asciiTheme="majorHAnsi" w:hAnsiTheme="majorHAnsi"/>
        </w:rPr>
      </w:pPr>
      <w:r w:rsidRPr="00866788">
        <w:rPr>
          <w:rFonts w:asciiTheme="majorHAnsi" w:hAnsiTheme="majorHAnsi"/>
        </w:rPr>
        <w:t xml:space="preserve">Молителят е в напреднала </w:t>
      </w:r>
      <w:r w:rsidR="00F44E6A" w:rsidRPr="00866788">
        <w:rPr>
          <w:rFonts w:asciiTheme="majorHAnsi" w:hAnsiTheme="majorHAnsi"/>
        </w:rPr>
        <w:t>възраст със заболяване на очите</w:t>
      </w:r>
      <w:r w:rsidRPr="00866788">
        <w:rPr>
          <w:rFonts w:asciiTheme="majorHAnsi" w:hAnsiTheme="majorHAnsi"/>
        </w:rPr>
        <w:t xml:space="preserve">. Въпреки това </w:t>
      </w:r>
      <w:r w:rsidR="00F44E6A" w:rsidRPr="00866788">
        <w:rPr>
          <w:rFonts w:asciiTheme="majorHAnsi" w:hAnsiTheme="majorHAnsi"/>
        </w:rPr>
        <w:t>той</w:t>
      </w:r>
      <w:r w:rsidRPr="00866788">
        <w:rPr>
          <w:rFonts w:asciiTheme="majorHAnsi" w:hAnsiTheme="majorHAnsi"/>
        </w:rPr>
        <w:t xml:space="preserve"> полага доброволен труд. </w:t>
      </w:r>
    </w:p>
    <w:p w:rsidR="001749DF" w:rsidRPr="00866788" w:rsidRDefault="00C16B5C" w:rsidP="001749DF">
      <w:pPr>
        <w:ind w:firstLine="538"/>
        <w:jc w:val="both"/>
        <w:rPr>
          <w:rFonts w:asciiTheme="majorHAnsi" w:hAnsiTheme="majorHAnsi"/>
        </w:rPr>
      </w:pPr>
      <w:r w:rsidRPr="00866788">
        <w:rPr>
          <w:rFonts w:asciiTheme="majorHAnsi" w:hAnsiTheme="majorHAnsi"/>
        </w:rPr>
        <w:t xml:space="preserve">На фона на тези данни оставащият остатък от наказанието е прекомерен. </w:t>
      </w:r>
      <w:r w:rsidR="001749DF" w:rsidRPr="00866788">
        <w:rPr>
          <w:rFonts w:asciiTheme="majorHAnsi" w:hAnsiTheme="majorHAnsi"/>
        </w:rPr>
        <w:t>Н</w:t>
      </w:r>
      <w:r w:rsidRPr="00866788">
        <w:rPr>
          <w:rFonts w:asciiTheme="majorHAnsi" w:hAnsiTheme="majorHAnsi"/>
        </w:rPr>
        <w:t xml:space="preserve">аказанието е определено по-тежко наказуем текст от НК (чл. 116), въпреки че съдът е констатирал предпоставките за прилагане на по-леко наказуема разпоредба (чл. 118). Най-тежкото наказание, което молителят би могъл да получи по чл. 118, дори и без редукцията по чл. 58а, е по-кратко от наложеното му (10 години лишаване от свобода). Това наказание се редуцира по чл. 58а, ал. 1 в 6 г. 8 м л.св. и, ако беше наложено, за молителя щеше вече да е възникнала възможност за </w:t>
      </w:r>
      <w:r w:rsidR="001749DF" w:rsidRPr="00866788">
        <w:rPr>
          <w:rFonts w:asciiTheme="majorHAnsi" w:hAnsiTheme="majorHAnsi"/>
        </w:rPr>
        <w:t>условно предсрочно освобождаване</w:t>
      </w:r>
      <w:r w:rsidRPr="00866788">
        <w:rPr>
          <w:rFonts w:asciiTheme="majorHAnsi" w:hAnsiTheme="majorHAnsi"/>
        </w:rPr>
        <w:t xml:space="preserve">. </w:t>
      </w:r>
    </w:p>
    <w:p w:rsidR="00C16B5C" w:rsidRPr="00866788" w:rsidRDefault="00C16B5C" w:rsidP="001749DF">
      <w:pPr>
        <w:ind w:firstLine="538"/>
        <w:jc w:val="both"/>
        <w:rPr>
          <w:rFonts w:asciiTheme="majorHAnsi" w:hAnsiTheme="majorHAnsi"/>
        </w:rPr>
      </w:pPr>
      <w:r w:rsidRPr="00866788">
        <w:rPr>
          <w:rFonts w:asciiTheme="majorHAnsi" w:hAnsiTheme="majorHAnsi"/>
        </w:rPr>
        <w:t xml:space="preserve">Предвид изложеното е целесъобразно молителят да бъде помилван. Това ще представлява акт на милост към един болен възрастен човек, който не представлява опасност за никого и към когото наказанието вече се изпълнява самоцелно, без да съществува правна възможност за освобождаване </w:t>
      </w:r>
      <w:r w:rsidR="001749DF" w:rsidRPr="00866788">
        <w:rPr>
          <w:rFonts w:asciiTheme="majorHAnsi" w:hAnsiTheme="majorHAnsi"/>
        </w:rPr>
        <w:t>по реда на редовен способ за облекчаване на репресията</w:t>
      </w:r>
      <w:r w:rsidRPr="00866788">
        <w:rPr>
          <w:rFonts w:asciiTheme="majorHAnsi" w:hAnsiTheme="majorHAnsi"/>
        </w:rPr>
        <w:t xml:space="preserve">. Липсва всякакъв правен, обществен и житейски смисъл молителят да продължава престоя си в затвора. </w:t>
      </w:r>
    </w:p>
    <w:p w:rsidR="00A43F5E" w:rsidRDefault="00C24FCA" w:rsidP="00A43F5E">
      <w:pPr>
        <w:ind w:firstLine="538"/>
        <w:jc w:val="both"/>
        <w:rPr>
          <w:rFonts w:asciiTheme="majorHAnsi" w:hAnsiTheme="majorHAnsi"/>
        </w:rPr>
      </w:pPr>
      <w:r w:rsidRPr="00866788">
        <w:rPr>
          <w:rFonts w:asciiTheme="majorHAnsi" w:hAnsiTheme="majorHAnsi"/>
        </w:rPr>
        <w:t xml:space="preserve">Молителят е помилван </w:t>
      </w:r>
      <w:r w:rsidR="001F25D6">
        <w:rPr>
          <w:rFonts w:asciiTheme="majorHAnsi" w:hAnsiTheme="majorHAnsi"/>
        </w:rPr>
        <w:t xml:space="preserve">частично </w:t>
      </w:r>
      <w:r w:rsidRPr="00866788">
        <w:rPr>
          <w:rFonts w:asciiTheme="majorHAnsi" w:hAnsiTheme="majorHAnsi"/>
        </w:rPr>
        <w:t xml:space="preserve">3 години и 8 месеца от остатъка от наказанието </w:t>
      </w:r>
      <w:r w:rsidR="00866788" w:rsidRPr="00866788">
        <w:rPr>
          <w:rFonts w:asciiTheme="majorHAnsi" w:hAnsiTheme="majorHAnsi"/>
        </w:rPr>
        <w:t xml:space="preserve">си </w:t>
      </w:r>
      <w:r w:rsidRPr="00866788">
        <w:rPr>
          <w:rFonts w:asciiTheme="majorHAnsi" w:hAnsiTheme="majorHAnsi"/>
        </w:rPr>
        <w:t xml:space="preserve">с </w:t>
      </w:r>
      <w:r w:rsidRPr="00866788">
        <w:rPr>
          <w:rFonts w:asciiTheme="majorHAnsi" w:hAnsiTheme="majorHAnsi"/>
          <w:b/>
        </w:rPr>
        <w:t>Указ</w:t>
      </w:r>
      <w:r w:rsidR="00866788" w:rsidRPr="00866788">
        <w:rPr>
          <w:rFonts w:asciiTheme="majorHAnsi" w:hAnsiTheme="majorHAnsi"/>
          <w:b/>
        </w:rPr>
        <w:t xml:space="preserve"> 65/01.07.2016 г.</w:t>
      </w:r>
    </w:p>
    <w:p w:rsidR="00DE0213" w:rsidRDefault="00A43F5E" w:rsidP="001F25D6">
      <w:pPr>
        <w:ind w:firstLine="538"/>
        <w:jc w:val="both"/>
        <w:rPr>
          <w:rFonts w:asciiTheme="majorHAnsi" w:hAnsiTheme="majorHAnsi"/>
        </w:rPr>
      </w:pPr>
      <w:r w:rsidRPr="00A43F5E">
        <w:rPr>
          <w:rFonts w:asciiTheme="majorHAnsi" w:hAnsiTheme="majorHAnsi"/>
          <w:b/>
        </w:rPr>
        <w:t>3.3.</w:t>
      </w:r>
      <w:r>
        <w:rPr>
          <w:rFonts w:asciiTheme="majorHAnsi" w:hAnsiTheme="majorHAnsi"/>
        </w:rPr>
        <w:t xml:space="preserve"> Молителят е 56-годишен гражданин с висше образование, по професия икономист, осъден на 17 години лишаване от свобода за убийство, извършено по време на празненство. </w:t>
      </w:r>
      <w:r w:rsidR="001F25D6">
        <w:rPr>
          <w:rFonts w:asciiTheme="majorHAnsi" w:hAnsiTheme="majorHAnsi"/>
        </w:rPr>
        <w:t xml:space="preserve">Предложението е да бъде помилван частично с 1 година от остатъка на наказанието. Вицепрезидентът е отказал помилване. </w:t>
      </w:r>
      <w:r>
        <w:rPr>
          <w:rFonts w:asciiTheme="majorHAnsi" w:hAnsiTheme="majorHAnsi"/>
        </w:rPr>
        <w:t xml:space="preserve"> </w:t>
      </w:r>
    </w:p>
    <w:p w:rsidR="001F25D6" w:rsidRDefault="001F25D6" w:rsidP="001F25D6">
      <w:pPr>
        <w:ind w:firstLine="538"/>
        <w:jc w:val="both"/>
        <w:rPr>
          <w:rFonts w:asciiTheme="majorHAnsi" w:hAnsiTheme="majorHAnsi"/>
        </w:rPr>
      </w:pPr>
    </w:p>
    <w:p w:rsidR="00DE0213" w:rsidRPr="00DE0213" w:rsidRDefault="00DE0213" w:rsidP="00DE0213">
      <w:pPr>
        <w:pStyle w:val="ListParagraph"/>
        <w:ind w:left="142"/>
        <w:jc w:val="center"/>
        <w:rPr>
          <w:b/>
          <w:sz w:val="30"/>
          <w:szCs w:val="30"/>
        </w:rPr>
      </w:pPr>
      <w:r>
        <w:rPr>
          <w:b/>
          <w:sz w:val="30"/>
          <w:szCs w:val="30"/>
        </w:rPr>
        <w:t>4. </w:t>
      </w:r>
      <w:r w:rsidRPr="00DE0213">
        <w:rPr>
          <w:b/>
          <w:sz w:val="30"/>
          <w:szCs w:val="30"/>
        </w:rPr>
        <w:t>ДОПЪЛНИТЕЛНИ ДЕЙНОСТИ И СТАЖАНТСКО ОБУЧЕНИЕ</w:t>
      </w:r>
    </w:p>
    <w:p w:rsidR="00DE0213" w:rsidRDefault="00DE0213" w:rsidP="00622AB9">
      <w:pPr>
        <w:pStyle w:val="ListParagraph"/>
        <w:ind w:left="0" w:firstLine="708"/>
        <w:jc w:val="both"/>
        <w:rPr>
          <w:rFonts w:asciiTheme="majorHAnsi" w:hAnsiTheme="majorHAnsi"/>
          <w:b/>
          <w:lang w:val="en-US"/>
        </w:rPr>
      </w:pPr>
    </w:p>
    <w:p w:rsidR="00B64DE3" w:rsidRDefault="00DE0213" w:rsidP="00B64DE3">
      <w:pPr>
        <w:pStyle w:val="ListParagraph"/>
        <w:ind w:left="0" w:firstLine="708"/>
        <w:jc w:val="both"/>
        <w:rPr>
          <w:rFonts w:asciiTheme="majorHAnsi" w:hAnsiTheme="majorHAnsi"/>
        </w:rPr>
      </w:pPr>
      <w:r w:rsidRPr="00DE0213">
        <w:rPr>
          <w:rFonts w:asciiTheme="majorHAnsi" w:hAnsiTheme="majorHAnsi"/>
        </w:rPr>
        <w:t xml:space="preserve">През </w:t>
      </w:r>
      <w:r>
        <w:rPr>
          <w:rFonts w:asciiTheme="majorHAnsi" w:hAnsiTheme="majorHAnsi"/>
        </w:rPr>
        <w:t xml:space="preserve">отчетния период </w:t>
      </w:r>
      <w:r w:rsidR="00137F35">
        <w:rPr>
          <w:rFonts w:asciiTheme="majorHAnsi" w:hAnsiTheme="majorHAnsi"/>
        </w:rPr>
        <w:t xml:space="preserve">продължиха да </w:t>
      </w:r>
      <w:r>
        <w:rPr>
          <w:rFonts w:asciiTheme="majorHAnsi" w:hAnsiTheme="majorHAnsi"/>
        </w:rPr>
        <w:t>се обучава</w:t>
      </w:r>
      <w:r w:rsidR="00137F35">
        <w:rPr>
          <w:rFonts w:asciiTheme="majorHAnsi" w:hAnsiTheme="majorHAnsi"/>
        </w:rPr>
        <w:t>т</w:t>
      </w:r>
      <w:r>
        <w:rPr>
          <w:rFonts w:asciiTheme="majorHAnsi" w:hAnsiTheme="majorHAnsi"/>
        </w:rPr>
        <w:t xml:space="preserve"> два екипа стажанти от </w:t>
      </w:r>
      <w:r w:rsidR="00B418FE">
        <w:rPr>
          <w:rFonts w:asciiTheme="majorHAnsi" w:hAnsiTheme="majorHAnsi"/>
        </w:rPr>
        <w:t>общо</w:t>
      </w:r>
      <w:r>
        <w:rPr>
          <w:rFonts w:asciiTheme="majorHAnsi" w:hAnsiTheme="majorHAnsi"/>
        </w:rPr>
        <w:t xml:space="preserve"> </w:t>
      </w:r>
      <w:r w:rsidR="00B418FE">
        <w:rPr>
          <w:rFonts w:asciiTheme="majorHAnsi" w:hAnsiTheme="majorHAnsi"/>
        </w:rPr>
        <w:t>8</w:t>
      </w:r>
      <w:r w:rsidR="00845EE9">
        <w:rPr>
          <w:rFonts w:asciiTheme="majorHAnsi" w:hAnsiTheme="majorHAnsi"/>
        </w:rPr>
        <w:t xml:space="preserve"> студент</w:t>
      </w:r>
      <w:r w:rsidR="00B418FE">
        <w:rPr>
          <w:rFonts w:asciiTheme="majorHAnsi" w:hAnsiTheme="majorHAnsi"/>
        </w:rPr>
        <w:t>и</w:t>
      </w:r>
      <w:r w:rsidR="00845EE9">
        <w:rPr>
          <w:rFonts w:asciiTheme="majorHAnsi" w:hAnsiTheme="majorHAnsi"/>
        </w:rPr>
        <w:t xml:space="preserve"> по право от СУ ..Св. Климент Охридски“ и УНСС.</w:t>
      </w:r>
    </w:p>
    <w:p w:rsidR="00B64DE3" w:rsidRDefault="005460F0" w:rsidP="00B64DE3">
      <w:pPr>
        <w:pStyle w:val="ListParagraph"/>
        <w:ind w:left="0" w:firstLine="708"/>
        <w:jc w:val="both"/>
        <w:rPr>
          <w:rFonts w:asciiTheme="majorHAnsi" w:hAnsiTheme="majorHAnsi" w:cs="Arial"/>
          <w:color w:val="222222"/>
        </w:rPr>
      </w:pPr>
      <w:r>
        <w:rPr>
          <w:rFonts w:asciiTheme="majorHAnsi" w:hAnsiTheme="majorHAnsi" w:cs="Arial"/>
          <w:color w:val="222222"/>
        </w:rPr>
        <w:t>На</w:t>
      </w:r>
      <w:r w:rsidRPr="00B64DE3">
        <w:rPr>
          <w:rFonts w:asciiTheme="majorHAnsi" w:hAnsiTheme="majorHAnsi" w:cs="Arial"/>
          <w:color w:val="222222"/>
        </w:rPr>
        <w:t xml:space="preserve"> </w:t>
      </w:r>
      <w:r>
        <w:rPr>
          <w:rFonts w:asciiTheme="majorHAnsi" w:hAnsiTheme="majorHAnsi" w:cs="Arial"/>
          <w:color w:val="222222"/>
        </w:rPr>
        <w:t>21-22.04.2016г. в</w:t>
      </w:r>
      <w:r w:rsidRPr="00B64DE3">
        <w:rPr>
          <w:rFonts w:asciiTheme="majorHAnsi" w:hAnsiTheme="majorHAnsi" w:cs="Arial"/>
          <w:color w:val="222222"/>
        </w:rPr>
        <w:t xml:space="preserve"> град Плевен</w:t>
      </w:r>
      <w:r>
        <w:rPr>
          <w:rFonts w:asciiTheme="majorHAnsi" w:hAnsiTheme="majorHAnsi" w:cs="Arial"/>
          <w:color w:val="222222"/>
        </w:rPr>
        <w:t xml:space="preserve"> </w:t>
      </w:r>
      <w:r w:rsidR="00B64DE3" w:rsidRPr="00B64DE3">
        <w:rPr>
          <w:rFonts w:asciiTheme="majorHAnsi" w:hAnsiTheme="majorHAnsi" w:cs="Arial"/>
          <w:color w:val="222222"/>
        </w:rPr>
        <w:t>Екатерина Михайлова</w:t>
      </w:r>
      <w:r>
        <w:rPr>
          <w:rFonts w:asciiTheme="majorHAnsi" w:hAnsiTheme="majorHAnsi" w:cs="Arial"/>
          <w:color w:val="222222"/>
        </w:rPr>
        <w:t>,</w:t>
      </w:r>
      <w:r w:rsidR="00B64DE3" w:rsidRPr="00B64DE3">
        <w:rPr>
          <w:rFonts w:asciiTheme="majorHAnsi" w:hAnsiTheme="majorHAnsi" w:cs="Arial"/>
          <w:color w:val="222222"/>
        </w:rPr>
        <w:t xml:space="preserve"> </w:t>
      </w:r>
      <w:r>
        <w:rPr>
          <w:rFonts w:asciiTheme="majorHAnsi" w:hAnsiTheme="majorHAnsi" w:cs="Arial"/>
          <w:color w:val="222222"/>
        </w:rPr>
        <w:t>ч</w:t>
      </w:r>
      <w:r w:rsidRPr="00B64DE3">
        <w:rPr>
          <w:rFonts w:asciiTheme="majorHAnsi" w:hAnsiTheme="majorHAnsi" w:cs="Arial"/>
          <w:color w:val="222222"/>
        </w:rPr>
        <w:t>ле</w:t>
      </w:r>
      <w:r>
        <w:rPr>
          <w:rFonts w:asciiTheme="majorHAnsi" w:hAnsiTheme="majorHAnsi" w:cs="Arial"/>
          <w:color w:val="222222"/>
        </w:rPr>
        <w:t>н на Комисията,</w:t>
      </w:r>
      <w:r w:rsidRPr="00B64DE3">
        <w:rPr>
          <w:rFonts w:asciiTheme="majorHAnsi" w:hAnsiTheme="majorHAnsi" w:cs="Arial"/>
          <w:color w:val="222222"/>
        </w:rPr>
        <w:t xml:space="preserve"> </w:t>
      </w:r>
      <w:r w:rsidR="00B64DE3" w:rsidRPr="00B64DE3">
        <w:rPr>
          <w:rFonts w:asciiTheme="majorHAnsi" w:hAnsiTheme="majorHAnsi" w:cs="Arial"/>
          <w:color w:val="222222"/>
        </w:rPr>
        <w:t>взе участие в  </w:t>
      </w:r>
      <w:r w:rsidR="00B64DE3">
        <w:rPr>
          <w:rFonts w:asciiTheme="majorHAnsi" w:hAnsiTheme="majorHAnsi" w:cs="Arial"/>
          <w:color w:val="222222"/>
        </w:rPr>
        <w:t>национална конференция ,,З</w:t>
      </w:r>
      <w:r w:rsidR="00B64DE3" w:rsidRPr="00B64DE3">
        <w:rPr>
          <w:rFonts w:asciiTheme="majorHAnsi" w:hAnsiTheme="majorHAnsi" w:cs="Arial"/>
          <w:color w:val="222222"/>
        </w:rPr>
        <w:t xml:space="preserve">атвор сред свободата. </w:t>
      </w:r>
      <w:r w:rsidR="00B64DE3">
        <w:rPr>
          <w:rFonts w:asciiTheme="majorHAnsi" w:hAnsiTheme="majorHAnsi" w:cs="Arial"/>
          <w:color w:val="222222"/>
        </w:rPr>
        <w:t>С</w:t>
      </w:r>
      <w:r w:rsidR="00B64DE3" w:rsidRPr="00B64DE3">
        <w:rPr>
          <w:rFonts w:asciiTheme="majorHAnsi" w:hAnsiTheme="majorHAnsi" w:cs="Arial"/>
          <w:color w:val="222222"/>
        </w:rPr>
        <w:t>вобода сред затвора”</w:t>
      </w:r>
      <w:r w:rsidR="00B64DE3">
        <w:rPr>
          <w:rFonts w:asciiTheme="majorHAnsi" w:hAnsiTheme="majorHAnsi" w:cs="Arial"/>
          <w:color w:val="222222"/>
        </w:rPr>
        <w:t xml:space="preserve">, проведена </w:t>
      </w:r>
      <w:r>
        <w:rPr>
          <w:rFonts w:asciiTheme="majorHAnsi" w:hAnsiTheme="majorHAnsi" w:cs="Arial"/>
          <w:color w:val="222222"/>
        </w:rPr>
        <w:t>от ,,Център на НПО“ - Разград и ,,Младежки форум 2001“ – Разград по проект ,,Свобода зад решетките“</w:t>
      </w:r>
      <w:r w:rsidR="00B64DE3" w:rsidRPr="00B64DE3">
        <w:rPr>
          <w:rFonts w:asciiTheme="majorHAnsi" w:hAnsiTheme="majorHAnsi" w:cs="Arial"/>
          <w:color w:val="222222"/>
        </w:rPr>
        <w:t xml:space="preserve">. </w:t>
      </w:r>
      <w:r>
        <w:rPr>
          <w:rFonts w:asciiTheme="majorHAnsi" w:hAnsiTheme="majorHAnsi" w:cs="Arial"/>
          <w:color w:val="222222"/>
        </w:rPr>
        <w:t>В изказването си</w:t>
      </w:r>
      <w:r w:rsidR="00B64DE3" w:rsidRPr="00B64DE3">
        <w:rPr>
          <w:rFonts w:asciiTheme="majorHAnsi" w:hAnsiTheme="majorHAnsi" w:cs="Arial"/>
          <w:color w:val="222222"/>
        </w:rPr>
        <w:t xml:space="preserve"> </w:t>
      </w:r>
      <w:r>
        <w:rPr>
          <w:rFonts w:asciiTheme="majorHAnsi" w:hAnsiTheme="majorHAnsi" w:cs="Arial"/>
          <w:color w:val="222222"/>
        </w:rPr>
        <w:t>тя</w:t>
      </w:r>
      <w:r w:rsidR="00B64DE3" w:rsidRPr="00B64DE3">
        <w:rPr>
          <w:rFonts w:asciiTheme="majorHAnsi" w:hAnsiTheme="majorHAnsi" w:cs="Arial"/>
          <w:color w:val="222222"/>
        </w:rPr>
        <w:t xml:space="preserve"> сподели опита на Комисията </w:t>
      </w:r>
      <w:r>
        <w:rPr>
          <w:rFonts w:asciiTheme="majorHAnsi" w:hAnsiTheme="majorHAnsi" w:cs="Arial"/>
          <w:color w:val="222222"/>
        </w:rPr>
        <w:t xml:space="preserve">по въпроси, свързани с работата на затворните администрации и информационния обмен с тях, липсата на </w:t>
      </w:r>
      <w:r w:rsidR="00B64DE3" w:rsidRPr="00B64DE3">
        <w:rPr>
          <w:rFonts w:asciiTheme="majorHAnsi" w:hAnsiTheme="majorHAnsi" w:cs="Arial"/>
          <w:color w:val="222222"/>
        </w:rPr>
        <w:t xml:space="preserve">достатъчно или </w:t>
      </w:r>
      <w:r>
        <w:rPr>
          <w:rFonts w:asciiTheme="majorHAnsi" w:hAnsiTheme="majorHAnsi" w:cs="Arial"/>
          <w:color w:val="222222"/>
        </w:rPr>
        <w:t>на подходяща</w:t>
      </w:r>
      <w:r w:rsidR="00B64DE3" w:rsidRPr="00B64DE3">
        <w:rPr>
          <w:rFonts w:asciiTheme="majorHAnsi" w:hAnsiTheme="majorHAnsi" w:cs="Arial"/>
          <w:color w:val="222222"/>
        </w:rPr>
        <w:t xml:space="preserve"> работа и занятие за </w:t>
      </w:r>
      <w:r>
        <w:rPr>
          <w:rFonts w:asciiTheme="majorHAnsi" w:hAnsiTheme="majorHAnsi" w:cs="Arial"/>
          <w:color w:val="222222"/>
        </w:rPr>
        <w:t>лишените</w:t>
      </w:r>
      <w:r w:rsidR="00B64DE3" w:rsidRPr="00B64DE3">
        <w:rPr>
          <w:rFonts w:asciiTheme="majorHAnsi" w:hAnsiTheme="majorHAnsi" w:cs="Arial"/>
          <w:color w:val="222222"/>
        </w:rPr>
        <w:t xml:space="preserve"> от свобода, адаптирането на </w:t>
      </w:r>
      <w:r>
        <w:rPr>
          <w:rFonts w:asciiTheme="majorHAnsi" w:hAnsiTheme="majorHAnsi" w:cs="Arial"/>
          <w:color w:val="222222"/>
        </w:rPr>
        <w:t>осъдените</w:t>
      </w:r>
      <w:r w:rsidR="00B64DE3" w:rsidRPr="00B64DE3">
        <w:rPr>
          <w:rFonts w:asciiTheme="majorHAnsi" w:hAnsiTheme="majorHAnsi" w:cs="Arial"/>
          <w:color w:val="222222"/>
        </w:rPr>
        <w:t xml:space="preserve"> след </w:t>
      </w:r>
      <w:r>
        <w:rPr>
          <w:rFonts w:asciiTheme="majorHAnsi" w:hAnsiTheme="majorHAnsi" w:cs="Arial"/>
          <w:color w:val="222222"/>
        </w:rPr>
        <w:t>освобождаване от</w:t>
      </w:r>
      <w:r w:rsidR="00B64DE3" w:rsidRPr="00B64DE3">
        <w:rPr>
          <w:rFonts w:asciiTheme="majorHAnsi" w:hAnsiTheme="majorHAnsi" w:cs="Arial"/>
          <w:color w:val="222222"/>
        </w:rPr>
        <w:t xml:space="preserve"> затворите. </w:t>
      </w:r>
      <w:r>
        <w:rPr>
          <w:rFonts w:asciiTheme="majorHAnsi" w:hAnsiTheme="majorHAnsi" w:cs="Arial"/>
          <w:color w:val="222222"/>
        </w:rPr>
        <w:t>П</w:t>
      </w:r>
      <w:r w:rsidR="00B64DE3" w:rsidRPr="00B64DE3">
        <w:rPr>
          <w:rFonts w:asciiTheme="majorHAnsi" w:hAnsiTheme="majorHAnsi" w:cs="Arial"/>
          <w:color w:val="222222"/>
        </w:rPr>
        <w:t>редставители</w:t>
      </w:r>
      <w:r>
        <w:rPr>
          <w:rFonts w:asciiTheme="majorHAnsi" w:hAnsiTheme="majorHAnsi" w:cs="Arial"/>
          <w:color w:val="222222"/>
        </w:rPr>
        <w:t>те</w:t>
      </w:r>
      <w:r w:rsidR="00B64DE3" w:rsidRPr="00B64DE3">
        <w:rPr>
          <w:rFonts w:asciiTheme="majorHAnsi" w:hAnsiTheme="majorHAnsi" w:cs="Arial"/>
          <w:color w:val="222222"/>
        </w:rPr>
        <w:t xml:space="preserve"> от затворническата администрация </w:t>
      </w:r>
      <w:r>
        <w:rPr>
          <w:rFonts w:asciiTheme="majorHAnsi" w:hAnsiTheme="majorHAnsi" w:cs="Arial"/>
          <w:color w:val="222222"/>
        </w:rPr>
        <w:t>изказаха</w:t>
      </w:r>
      <w:r w:rsidR="00B64DE3" w:rsidRPr="00B64DE3">
        <w:rPr>
          <w:rFonts w:asciiTheme="majorHAnsi" w:hAnsiTheme="majorHAnsi" w:cs="Arial"/>
          <w:color w:val="222222"/>
        </w:rPr>
        <w:t xml:space="preserve"> </w:t>
      </w:r>
      <w:r>
        <w:rPr>
          <w:rFonts w:asciiTheme="majorHAnsi" w:hAnsiTheme="majorHAnsi" w:cs="Arial"/>
          <w:color w:val="222222"/>
        </w:rPr>
        <w:t>удовлетворение</w:t>
      </w:r>
      <w:r w:rsidR="00B64DE3" w:rsidRPr="00B64DE3">
        <w:rPr>
          <w:rFonts w:asciiTheme="majorHAnsi" w:hAnsiTheme="majorHAnsi" w:cs="Arial"/>
          <w:color w:val="222222"/>
        </w:rPr>
        <w:t xml:space="preserve"> от </w:t>
      </w:r>
      <w:r>
        <w:rPr>
          <w:rFonts w:asciiTheme="majorHAnsi" w:hAnsiTheme="majorHAnsi" w:cs="Arial"/>
          <w:color w:val="222222"/>
        </w:rPr>
        <w:t>сътрудничеството си с</w:t>
      </w:r>
      <w:r w:rsidR="00B64DE3" w:rsidRPr="00B64DE3">
        <w:rPr>
          <w:rFonts w:asciiTheme="majorHAnsi" w:hAnsiTheme="majorHAnsi" w:cs="Arial"/>
          <w:color w:val="222222"/>
        </w:rPr>
        <w:t xml:space="preserve"> Комисията, </w:t>
      </w:r>
      <w:r>
        <w:rPr>
          <w:rFonts w:asciiTheme="majorHAnsi" w:hAnsiTheme="majorHAnsi" w:cs="Arial"/>
          <w:color w:val="222222"/>
        </w:rPr>
        <w:t xml:space="preserve">като подчертаха </w:t>
      </w:r>
      <w:r w:rsidR="00B64DE3" w:rsidRPr="00B64DE3">
        <w:rPr>
          <w:rFonts w:asciiTheme="majorHAnsi" w:hAnsiTheme="majorHAnsi" w:cs="Arial"/>
          <w:color w:val="222222"/>
        </w:rPr>
        <w:t xml:space="preserve">повишения </w:t>
      </w:r>
      <w:r>
        <w:rPr>
          <w:rFonts w:asciiTheme="majorHAnsi" w:hAnsiTheme="majorHAnsi" w:cs="Arial"/>
          <w:color w:val="222222"/>
        </w:rPr>
        <w:t xml:space="preserve">ѝ </w:t>
      </w:r>
      <w:r w:rsidR="00B64DE3" w:rsidRPr="00B64DE3">
        <w:rPr>
          <w:rFonts w:asciiTheme="majorHAnsi" w:hAnsiTheme="majorHAnsi" w:cs="Arial"/>
          <w:color w:val="222222"/>
        </w:rPr>
        <w:t xml:space="preserve">интерес </w:t>
      </w:r>
      <w:r>
        <w:rPr>
          <w:rFonts w:asciiTheme="majorHAnsi" w:hAnsiTheme="majorHAnsi" w:cs="Arial"/>
          <w:color w:val="222222"/>
        </w:rPr>
        <w:t>към разнообразна</w:t>
      </w:r>
      <w:r w:rsidR="00B64DE3" w:rsidRPr="00B64DE3">
        <w:rPr>
          <w:rFonts w:asciiTheme="majorHAnsi" w:hAnsiTheme="majorHAnsi" w:cs="Arial"/>
          <w:color w:val="222222"/>
        </w:rPr>
        <w:t xml:space="preserve"> информация</w:t>
      </w:r>
      <w:r>
        <w:rPr>
          <w:rFonts w:asciiTheme="majorHAnsi" w:hAnsiTheme="majorHAnsi" w:cs="Arial"/>
          <w:color w:val="222222"/>
        </w:rPr>
        <w:t xml:space="preserve"> за осъдените и за начините на работа с тях</w:t>
      </w:r>
      <w:r w:rsidR="00B64DE3" w:rsidRPr="00B64DE3">
        <w:rPr>
          <w:rFonts w:asciiTheme="majorHAnsi" w:hAnsiTheme="majorHAnsi" w:cs="Arial"/>
          <w:color w:val="222222"/>
        </w:rPr>
        <w:t>, сътрудничество</w:t>
      </w:r>
      <w:r>
        <w:rPr>
          <w:rFonts w:asciiTheme="majorHAnsi" w:hAnsiTheme="majorHAnsi" w:cs="Arial"/>
          <w:color w:val="222222"/>
        </w:rPr>
        <w:t>то</w:t>
      </w:r>
      <w:r w:rsidR="00B64DE3" w:rsidRPr="00B64DE3">
        <w:rPr>
          <w:rFonts w:asciiTheme="majorHAnsi" w:hAnsiTheme="majorHAnsi" w:cs="Arial"/>
          <w:color w:val="222222"/>
        </w:rPr>
        <w:t xml:space="preserve"> под формата на конференции и семинари</w:t>
      </w:r>
      <w:r>
        <w:rPr>
          <w:rFonts w:asciiTheme="majorHAnsi" w:hAnsiTheme="majorHAnsi" w:cs="Arial"/>
          <w:color w:val="222222"/>
        </w:rPr>
        <w:t xml:space="preserve"> и др</w:t>
      </w:r>
      <w:r w:rsidR="00B64DE3" w:rsidRPr="00B64DE3">
        <w:rPr>
          <w:rFonts w:asciiTheme="majorHAnsi" w:hAnsiTheme="majorHAnsi" w:cs="Arial"/>
          <w:color w:val="222222"/>
        </w:rPr>
        <w:t>.</w:t>
      </w:r>
    </w:p>
    <w:p w:rsidR="0063778D" w:rsidRDefault="0063778D" w:rsidP="00B64DE3">
      <w:pPr>
        <w:pStyle w:val="ListParagraph"/>
        <w:ind w:left="0" w:firstLine="708"/>
        <w:jc w:val="both"/>
        <w:rPr>
          <w:rFonts w:asciiTheme="majorHAnsi" w:hAnsiTheme="majorHAnsi" w:cs="Arial"/>
          <w:color w:val="222222"/>
        </w:rPr>
      </w:pPr>
      <w:r>
        <w:rPr>
          <w:rFonts w:asciiTheme="majorHAnsi" w:hAnsiTheme="majorHAnsi" w:cs="Arial"/>
          <w:color w:val="222222"/>
        </w:rPr>
        <w:t xml:space="preserve">През отчетния период Комисията дари на затворните администрации </w:t>
      </w:r>
      <w:r w:rsidR="00C42275">
        <w:rPr>
          <w:rFonts w:asciiTheme="majorHAnsi" w:hAnsiTheme="majorHAnsi" w:cs="Arial"/>
          <w:color w:val="222222"/>
        </w:rPr>
        <w:t>пет</w:t>
      </w:r>
      <w:r>
        <w:rPr>
          <w:rFonts w:asciiTheme="majorHAnsi" w:hAnsiTheme="majorHAnsi" w:cs="Arial"/>
          <w:color w:val="222222"/>
        </w:rPr>
        <w:t xml:space="preserve"> кашона книги, събрани от служители на Администрацията на президента и предназначени за предоставяне на затворните библиотеки. Събирането на книги продължава и в момента.</w:t>
      </w:r>
    </w:p>
    <w:p w:rsidR="0063778D" w:rsidRPr="00B64DE3" w:rsidRDefault="0063778D" w:rsidP="00B64DE3">
      <w:pPr>
        <w:pStyle w:val="ListParagraph"/>
        <w:ind w:left="0" w:firstLine="708"/>
        <w:jc w:val="both"/>
        <w:rPr>
          <w:rFonts w:asciiTheme="majorHAnsi" w:hAnsiTheme="majorHAnsi"/>
        </w:rPr>
      </w:pPr>
      <w:r>
        <w:rPr>
          <w:rFonts w:asciiTheme="majorHAnsi" w:hAnsiTheme="majorHAnsi" w:cs="Arial"/>
          <w:color w:val="222222"/>
        </w:rPr>
        <w:t>През отчетния период бяха проведени работни срещи с новоназначения Директор на ГД,,ИН“ и негови заместници, служители на Министерството на правосъдието, прокуратурата и др.</w:t>
      </w:r>
    </w:p>
    <w:p w:rsidR="00845EE9" w:rsidRPr="00B64DE3" w:rsidRDefault="00845EE9" w:rsidP="00B64DE3">
      <w:pPr>
        <w:pStyle w:val="ListParagraph"/>
        <w:ind w:left="0" w:firstLine="708"/>
        <w:jc w:val="both"/>
        <w:rPr>
          <w:rFonts w:asciiTheme="majorHAnsi" w:hAnsiTheme="majorHAnsi"/>
        </w:rPr>
      </w:pPr>
    </w:p>
    <w:p w:rsidR="00137F35" w:rsidRDefault="00137F35" w:rsidP="00622AB9">
      <w:pPr>
        <w:pStyle w:val="ListParagraph"/>
        <w:ind w:left="0" w:firstLine="708"/>
        <w:jc w:val="both"/>
        <w:rPr>
          <w:rFonts w:asciiTheme="majorHAnsi" w:hAnsiTheme="majorHAnsi"/>
        </w:rPr>
      </w:pPr>
    </w:p>
    <w:p w:rsidR="00137F35" w:rsidRPr="00DE0213" w:rsidRDefault="00137F35" w:rsidP="00622AB9">
      <w:pPr>
        <w:pStyle w:val="ListParagraph"/>
        <w:ind w:left="0" w:firstLine="708"/>
        <w:jc w:val="both"/>
        <w:rPr>
          <w:rFonts w:asciiTheme="majorHAnsi" w:hAnsiTheme="majorHAnsi"/>
        </w:rPr>
      </w:pPr>
      <w:bookmarkStart w:id="0" w:name="_GoBack"/>
      <w:bookmarkEnd w:id="0"/>
    </w:p>
    <w:sectPr w:rsidR="00137F35" w:rsidRPr="00DE0213" w:rsidSect="00E411D2">
      <w:headerReference w:type="default" r:id="rId21"/>
      <w:footerReference w:type="even" r:id="rId22"/>
      <w:footerReference w:type="default" r:id="rId23"/>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61" w:rsidRDefault="00331161">
      <w:r>
        <w:separator/>
      </w:r>
    </w:p>
  </w:endnote>
  <w:endnote w:type="continuationSeparator" w:id="0">
    <w:p w:rsidR="00331161" w:rsidRDefault="003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5E" w:rsidRDefault="00A43F5E"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F5E" w:rsidRDefault="00A43F5E"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5E" w:rsidRDefault="00A43F5E"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0E49">
      <w:rPr>
        <w:rStyle w:val="PageNumber"/>
        <w:noProof/>
      </w:rPr>
      <w:t>9</w:t>
    </w:r>
    <w:r>
      <w:rPr>
        <w:rStyle w:val="PageNumber"/>
      </w:rPr>
      <w:fldChar w:fldCharType="end"/>
    </w:r>
  </w:p>
  <w:p w:rsidR="00A43F5E" w:rsidRPr="005324D6" w:rsidRDefault="00A43F5E" w:rsidP="002711C3">
    <w:pPr>
      <w:pStyle w:val="Header"/>
      <w:ind w:left="-851" w:right="360"/>
      <w:jc w:val="both"/>
      <w:rPr>
        <w:sz w:val="22"/>
        <w:szCs w:val="22"/>
      </w:rPr>
    </w:pPr>
  </w:p>
  <w:p w:rsidR="00A43F5E" w:rsidRDefault="00A43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61" w:rsidRDefault="00331161">
      <w:r>
        <w:separator/>
      </w:r>
    </w:p>
  </w:footnote>
  <w:footnote w:type="continuationSeparator" w:id="0">
    <w:p w:rsidR="00331161" w:rsidRDefault="00331161">
      <w:r>
        <w:continuationSeparator/>
      </w:r>
    </w:p>
  </w:footnote>
  <w:footnote w:id="1">
    <w:p w:rsidR="00275840" w:rsidRPr="004E6903" w:rsidRDefault="00275840" w:rsidP="00275840">
      <w:pPr>
        <w:pStyle w:val="FootnoteText"/>
        <w:jc w:val="both"/>
        <w:rPr>
          <w:rFonts w:asciiTheme="majorHAnsi" w:hAnsiTheme="majorHAnsi"/>
        </w:rPr>
      </w:pPr>
      <w:r w:rsidRPr="004E6903">
        <w:rPr>
          <w:rStyle w:val="FootnoteReference"/>
          <w:rFonts w:asciiTheme="majorHAnsi" w:hAnsiTheme="majorHAnsi"/>
        </w:rPr>
        <w:footnoteRef/>
      </w:r>
      <w:r w:rsidRPr="004E6903">
        <w:rPr>
          <w:rFonts w:asciiTheme="majorHAnsi" w:hAnsiTheme="majorHAnsi"/>
        </w:rPr>
        <w:t xml:space="preserve"> Мандатната година започва на 23.01.2014 г. и продължава до 22.01.2015 г. Представените данни обхващат този период.</w:t>
      </w:r>
    </w:p>
  </w:footnote>
  <w:footnote w:id="2">
    <w:p w:rsidR="00275840" w:rsidRDefault="00275840" w:rsidP="00275840">
      <w:pPr>
        <w:pStyle w:val="FootnoteText"/>
        <w:jc w:val="both"/>
      </w:pPr>
      <w:r>
        <w:rPr>
          <w:rStyle w:val="FootnoteReference"/>
        </w:rPr>
        <w:footnoteRef/>
      </w:r>
      <w:r>
        <w:t xml:space="preserve"> </w:t>
      </w:r>
      <w:r>
        <w:t xml:space="preserve">По </w:t>
      </w:r>
      <w:r>
        <w:t xml:space="preserve">едното предложение е постановен Указ № 27/07.04.2016 г. (с 1 година от остатъка). </w:t>
      </w:r>
    </w:p>
  </w:footnote>
  <w:footnote w:id="3">
    <w:p w:rsidR="00275840" w:rsidRDefault="00275840" w:rsidP="00275840">
      <w:pPr>
        <w:pStyle w:val="FootnoteText"/>
      </w:pPr>
      <w:r>
        <w:rPr>
          <w:rStyle w:val="FootnoteReference"/>
        </w:rPr>
        <w:footnoteRef/>
      </w:r>
      <w:r>
        <w:t xml:space="preserve"> </w:t>
      </w:r>
      <w:r>
        <w:t xml:space="preserve">Указ </w:t>
      </w:r>
      <w:r>
        <w:t>№ 44/07.06.2016 г. (изцяло с наложените наказания) и Указ № 62/01.07.2016 г. (с 3 години  8 месеца от остатъка). Едно предложение е отхвърлено.</w:t>
      </w:r>
    </w:p>
  </w:footnote>
  <w:footnote w:id="4">
    <w:p w:rsidR="00A43F5E" w:rsidRPr="00587BB5" w:rsidRDefault="00A43F5E" w:rsidP="00587BB5">
      <w:pPr>
        <w:jc w:val="both"/>
        <w:rPr>
          <w:rFonts w:asciiTheme="majorHAnsi" w:hAnsiTheme="majorHAnsi"/>
          <w:sz w:val="20"/>
          <w:szCs w:val="20"/>
        </w:rPr>
      </w:pPr>
      <w:r>
        <w:rPr>
          <w:rStyle w:val="FootnoteReference"/>
        </w:rPr>
        <w:footnoteRef/>
      </w:r>
      <w:r>
        <w:t xml:space="preserve"> </w:t>
      </w:r>
      <w:r w:rsidRPr="00587BB5">
        <w:rPr>
          <w:rFonts w:asciiTheme="majorHAnsi" w:hAnsiTheme="majorHAnsi"/>
          <w:sz w:val="20"/>
          <w:szCs w:val="20"/>
        </w:rPr>
        <w:t xml:space="preserve">В </w:t>
      </w:r>
      <w:r w:rsidRPr="00587BB5">
        <w:rPr>
          <w:rFonts w:asciiTheme="majorHAnsi" w:hAnsiTheme="majorHAnsi"/>
          <w:sz w:val="20"/>
          <w:szCs w:val="20"/>
        </w:rPr>
        <w:t>работата си Комисията често среща несъответствия в документираната информация за образованието на един и същи молител към един и същи момент, като най-често като завършено му е приписано образователно равнище, което той предстои да получи, като често вместо начално, образованието е посочено като основно.</w:t>
      </w:r>
    </w:p>
  </w:footnote>
  <w:footnote w:id="5">
    <w:p w:rsidR="00A43F5E" w:rsidRPr="00A41765" w:rsidRDefault="00A43F5E" w:rsidP="00A41765">
      <w:pPr>
        <w:pStyle w:val="ListParagraph"/>
        <w:ind w:left="0"/>
        <w:jc w:val="both"/>
        <w:rPr>
          <w:rFonts w:asciiTheme="majorHAnsi" w:hAnsiTheme="majorHAnsi"/>
          <w:sz w:val="20"/>
          <w:szCs w:val="20"/>
        </w:rPr>
      </w:pPr>
      <w:r>
        <w:rPr>
          <w:rStyle w:val="FootnoteReference"/>
        </w:rPr>
        <w:footnoteRef/>
      </w:r>
      <w:r>
        <w:t xml:space="preserve"> </w:t>
      </w:r>
      <w:r w:rsidRPr="00A41765">
        <w:rPr>
          <w:rFonts w:asciiTheme="majorHAnsi" w:hAnsiTheme="majorHAnsi"/>
          <w:sz w:val="20"/>
          <w:szCs w:val="20"/>
        </w:rPr>
        <w:t xml:space="preserve">Както </w:t>
      </w:r>
      <w:r w:rsidRPr="00A41765">
        <w:rPr>
          <w:rFonts w:asciiTheme="majorHAnsi" w:hAnsiTheme="majorHAnsi"/>
          <w:sz w:val="20"/>
          <w:szCs w:val="20"/>
        </w:rPr>
        <w:t xml:space="preserve">Комисията многократно е изтъквала, </w:t>
      </w:r>
      <w:r>
        <w:rPr>
          <w:rFonts w:asciiTheme="majorHAnsi" w:hAnsiTheme="majorHAnsi"/>
          <w:sz w:val="20"/>
          <w:szCs w:val="20"/>
        </w:rPr>
        <w:t>УПО</w:t>
      </w:r>
      <w:r w:rsidRPr="00A41765">
        <w:rPr>
          <w:rFonts w:asciiTheme="majorHAnsi" w:hAnsiTheme="majorHAnsi"/>
          <w:sz w:val="20"/>
          <w:szCs w:val="20"/>
        </w:rPr>
        <w:t xml:space="preserve"> е конкурентен на помилването </w:t>
      </w:r>
      <w:r>
        <w:rPr>
          <w:rFonts w:asciiTheme="majorHAnsi" w:hAnsiTheme="majorHAnsi"/>
          <w:sz w:val="20"/>
          <w:szCs w:val="20"/>
        </w:rPr>
        <w:t>институт и има предимство</w:t>
      </w:r>
      <w:r w:rsidRPr="00A41765">
        <w:rPr>
          <w:rFonts w:asciiTheme="majorHAnsi" w:hAnsiTheme="majorHAnsi"/>
          <w:sz w:val="20"/>
          <w:szCs w:val="20"/>
        </w:rPr>
        <w:t xml:space="preserve">, когато предпоставките за прилагането му са налице. В проведените през 2012-2013 г. изследвания Комисията установи, че в практиката е налице смесване на тези два инструмента за облекчаване на отговорността, като самите молители трудно се ориентират в разликите между тях. В резултат на последователно провежданата от Комисията политика по отстояване на предимството на </w:t>
      </w:r>
      <w:r>
        <w:rPr>
          <w:rFonts w:asciiTheme="majorHAnsi" w:hAnsiTheme="majorHAnsi"/>
          <w:sz w:val="20"/>
          <w:szCs w:val="20"/>
        </w:rPr>
        <w:t>УПО</w:t>
      </w:r>
      <w:r w:rsidRPr="00A41765">
        <w:rPr>
          <w:rFonts w:asciiTheme="majorHAnsi" w:hAnsiTheme="majorHAnsi"/>
          <w:sz w:val="20"/>
          <w:szCs w:val="20"/>
        </w:rPr>
        <w:t xml:space="preserve">, </w:t>
      </w:r>
      <w:r>
        <w:rPr>
          <w:rFonts w:asciiTheme="majorHAnsi" w:hAnsiTheme="majorHAnsi"/>
          <w:sz w:val="20"/>
          <w:szCs w:val="20"/>
        </w:rPr>
        <w:t>към края на 2015 г.</w:t>
      </w:r>
      <w:r w:rsidRPr="00A41765">
        <w:rPr>
          <w:rFonts w:asciiTheme="majorHAnsi" w:hAnsiTheme="majorHAnsi"/>
          <w:sz w:val="20"/>
          <w:szCs w:val="20"/>
        </w:rPr>
        <w:t xml:space="preserve"> делът на молителите, които търсят помилване, като се позовават на предпоставки за УПО, </w:t>
      </w:r>
      <w:r>
        <w:rPr>
          <w:rFonts w:asciiTheme="majorHAnsi" w:hAnsiTheme="majorHAnsi"/>
          <w:sz w:val="20"/>
          <w:szCs w:val="20"/>
        </w:rPr>
        <w:t>б</w:t>
      </w:r>
      <w:r w:rsidRPr="00A41765">
        <w:rPr>
          <w:rFonts w:asciiTheme="majorHAnsi" w:hAnsiTheme="majorHAnsi"/>
          <w:sz w:val="20"/>
          <w:szCs w:val="20"/>
        </w:rPr>
        <w:t>е свит наполовина. Тези молители изтъкват други обстоятелства в подкрепа на молбата си.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5E" w:rsidRDefault="00A43F5E" w:rsidP="001E7C52">
    <w:pPr>
      <w:pStyle w:val="Header"/>
      <w:rPr>
        <w:rFonts w:asciiTheme="majorHAnsi" w:hAnsiTheme="majorHAnsi"/>
        <w:b/>
        <w:sz w:val="20"/>
        <w:szCs w:val="20"/>
      </w:rPr>
    </w:pPr>
    <w:r>
      <w:rPr>
        <w:rFonts w:asciiTheme="majorHAnsi" w:hAnsiTheme="majorHAnsi"/>
        <w:b/>
        <w:sz w:val="20"/>
        <w:szCs w:val="20"/>
      </w:rPr>
      <w:t xml:space="preserve">ТРИМЕСЕЧЕН ОТЧЕТ                                         </w:t>
    </w:r>
    <w:r>
      <w:rPr>
        <w:rFonts w:asciiTheme="majorHAnsi" w:hAnsiTheme="majorHAnsi"/>
        <w:b/>
        <w:sz w:val="20"/>
        <w:szCs w:val="20"/>
      </w:rPr>
      <w:tab/>
    </w:r>
    <w:r>
      <w:rPr>
        <w:rFonts w:asciiTheme="majorHAnsi" w:hAnsiTheme="majorHAnsi"/>
        <w:b/>
        <w:sz w:val="20"/>
        <w:szCs w:val="20"/>
      </w:rPr>
      <w:tab/>
      <w:t xml:space="preserve">       </w:t>
    </w:r>
    <w:r>
      <w:rPr>
        <w:rFonts w:asciiTheme="majorHAnsi" w:hAnsiTheme="majorHAnsi"/>
        <w:b/>
        <w:sz w:val="20"/>
        <w:szCs w:val="20"/>
        <w:lang w:val="en-GB"/>
      </w:rPr>
      <w:t xml:space="preserve">                                           </w:t>
    </w:r>
    <w:r>
      <w:rPr>
        <w:rFonts w:asciiTheme="majorHAnsi" w:hAnsiTheme="majorHAnsi"/>
        <w:b/>
        <w:sz w:val="20"/>
        <w:szCs w:val="20"/>
      </w:rPr>
      <w:t xml:space="preserve">    КОМИСИЯ ПО ПОМИЛВАНЕТО ПРИ </w:t>
    </w:r>
  </w:p>
  <w:p w:rsidR="00A43F5E" w:rsidRDefault="00A43F5E"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 xml:space="preserve">АПРИЛ - ЮНИ 2016 г.   </w:t>
    </w:r>
    <w:r>
      <w:rPr>
        <w:rFonts w:asciiTheme="majorHAnsi" w:hAnsiTheme="majorHAnsi"/>
        <w:b/>
        <w:sz w:val="20"/>
        <w:szCs w:val="20"/>
      </w:rPr>
      <w:tab/>
      <w:t xml:space="preserve">                                                                                              ПРЕЗИДЕНТА НА РЕПУБЛИКА БЪЛГАРИЯ</w:t>
    </w:r>
  </w:p>
  <w:p w:rsidR="00A43F5E" w:rsidRPr="001E7C52" w:rsidRDefault="00A43F5E"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2">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nsid w:val="139F62C9"/>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1EFB2AA1"/>
    <w:multiLevelType w:val="multilevel"/>
    <w:tmpl w:val="C0086870"/>
    <w:lvl w:ilvl="0">
      <w:start w:val="1"/>
      <w:numFmt w:val="decimal"/>
      <w:lvlText w:val="%1"/>
      <w:lvlJc w:val="left"/>
      <w:pPr>
        <w:ind w:left="720" w:hanging="360"/>
      </w:pPr>
      <w:rPr>
        <w:rFonts w:hint="default"/>
      </w:rPr>
    </w:lvl>
    <w:lvl w:ilvl="1">
      <w:start w:val="2"/>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1">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2">
    <w:nsid w:val="21172606"/>
    <w:multiLevelType w:val="hybridMultilevel"/>
    <w:tmpl w:val="0C125A6E"/>
    <w:lvl w:ilvl="0" w:tplc="DFCE8ECE">
      <w:start w:val="25"/>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1AA2EEB"/>
    <w:multiLevelType w:val="hybridMultilevel"/>
    <w:tmpl w:val="691611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4">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6">
    <w:nsid w:val="304D428F"/>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D4082"/>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0">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1">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2">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3">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86E6288"/>
    <w:multiLevelType w:val="hybridMultilevel"/>
    <w:tmpl w:val="5D8C4F7C"/>
    <w:lvl w:ilvl="0" w:tplc="E47CFD9E">
      <w:start w:val="1"/>
      <w:numFmt w:val="decimal"/>
      <w:lvlText w:val="%1."/>
      <w:lvlJc w:val="left"/>
      <w:pPr>
        <w:ind w:left="1068" w:hanging="360"/>
      </w:pPr>
      <w:rPr>
        <w:rFonts w:hint="default"/>
        <w:b/>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582128F5"/>
    <w:multiLevelType w:val="hybridMultilevel"/>
    <w:tmpl w:val="832C93EA"/>
    <w:lvl w:ilvl="0" w:tplc="19F4176A">
      <w:start w:val="1"/>
      <w:numFmt w:val="decimal"/>
      <w:lvlText w:val="%1."/>
      <w:lvlJc w:val="left"/>
      <w:pPr>
        <w:ind w:left="1788" w:hanging="360"/>
      </w:pPr>
      <w:rPr>
        <w:rFonts w:asciiTheme="majorHAnsi" w:hAnsiTheme="majorHAnsi" w:hint="default"/>
        <w:sz w:val="28"/>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0">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165285E"/>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32">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4">
    <w:nsid w:val="65CE685B"/>
    <w:multiLevelType w:val="hybridMultilevel"/>
    <w:tmpl w:val="275ECF6E"/>
    <w:lvl w:ilvl="0" w:tplc="944A7A8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36">
    <w:nsid w:val="75ED5D37"/>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37">
    <w:nsid w:val="7A0A2E9E"/>
    <w:multiLevelType w:val="multilevel"/>
    <w:tmpl w:val="21DAECF0"/>
    <w:lvl w:ilvl="0">
      <w:start w:val="2"/>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38">
    <w:nsid w:val="7C8D77DC"/>
    <w:multiLevelType w:val="hybridMultilevel"/>
    <w:tmpl w:val="6F70A102"/>
    <w:lvl w:ilvl="0" w:tplc="3884993E">
      <w:start w:val="2"/>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num w:numId="1">
    <w:abstractNumId w:val="14"/>
  </w:num>
  <w:num w:numId="2">
    <w:abstractNumId w:val="35"/>
  </w:num>
  <w:num w:numId="3">
    <w:abstractNumId w:val="21"/>
  </w:num>
  <w:num w:numId="4">
    <w:abstractNumId w:val="3"/>
  </w:num>
  <w:num w:numId="5">
    <w:abstractNumId w:val="15"/>
  </w:num>
  <w:num w:numId="6">
    <w:abstractNumId w:val="5"/>
  </w:num>
  <w:num w:numId="7">
    <w:abstractNumId w:val="33"/>
  </w:num>
  <w:num w:numId="8">
    <w:abstractNumId w:val="17"/>
  </w:num>
  <w:num w:numId="9">
    <w:abstractNumId w:val="6"/>
  </w:num>
  <w:num w:numId="10">
    <w:abstractNumId w:val="8"/>
  </w:num>
  <w:num w:numId="11">
    <w:abstractNumId w:val="23"/>
  </w:num>
  <w:num w:numId="12">
    <w:abstractNumId w:val="7"/>
  </w:num>
  <w:num w:numId="13">
    <w:abstractNumId w:val="24"/>
  </w:num>
  <w:num w:numId="14">
    <w:abstractNumId w:val="30"/>
  </w:num>
  <w:num w:numId="15">
    <w:abstractNumId w:val="2"/>
  </w:num>
  <w:num w:numId="16">
    <w:abstractNumId w:val="1"/>
  </w:num>
  <w:num w:numId="17">
    <w:abstractNumId w:val="32"/>
  </w:num>
  <w:num w:numId="18">
    <w:abstractNumId w:val="26"/>
  </w:num>
  <w:num w:numId="19">
    <w:abstractNumId w:val="11"/>
  </w:num>
  <w:num w:numId="20">
    <w:abstractNumId w:val="22"/>
  </w:num>
  <w:num w:numId="21">
    <w:abstractNumId w:val="28"/>
  </w:num>
  <w:num w:numId="22">
    <w:abstractNumId w:val="0"/>
  </w:num>
  <w:num w:numId="23">
    <w:abstractNumId w:val="18"/>
  </w:num>
  <w:num w:numId="24">
    <w:abstractNumId w:val="20"/>
  </w:num>
  <w:num w:numId="25">
    <w:abstractNumId w:val="36"/>
  </w:num>
  <w:num w:numId="26">
    <w:abstractNumId w:val="19"/>
  </w:num>
  <w:num w:numId="27">
    <w:abstractNumId w:val="9"/>
  </w:num>
  <w:num w:numId="28">
    <w:abstractNumId w:val="27"/>
  </w:num>
  <w:num w:numId="29">
    <w:abstractNumId w:val="12"/>
  </w:num>
  <w:num w:numId="30">
    <w:abstractNumId w:val="31"/>
  </w:num>
  <w:num w:numId="31">
    <w:abstractNumId w:val="10"/>
  </w:num>
  <w:num w:numId="32">
    <w:abstractNumId w:val="13"/>
  </w:num>
  <w:num w:numId="33">
    <w:abstractNumId w:val="25"/>
  </w:num>
  <w:num w:numId="34">
    <w:abstractNumId w:val="37"/>
  </w:num>
  <w:num w:numId="35">
    <w:abstractNumId w:val="29"/>
  </w:num>
  <w:num w:numId="36">
    <w:abstractNumId w:val="4"/>
  </w:num>
  <w:num w:numId="37">
    <w:abstractNumId w:val="34"/>
  </w:num>
  <w:num w:numId="38">
    <w:abstractNumId w:val="3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84"/>
    <w:rsid w:val="00000D63"/>
    <w:rsid w:val="00003F4F"/>
    <w:rsid w:val="000054E9"/>
    <w:rsid w:val="0000693E"/>
    <w:rsid w:val="00010E90"/>
    <w:rsid w:val="0001113F"/>
    <w:rsid w:val="0001275A"/>
    <w:rsid w:val="00013188"/>
    <w:rsid w:val="000152C0"/>
    <w:rsid w:val="00017FD7"/>
    <w:rsid w:val="00022C27"/>
    <w:rsid w:val="00024AC9"/>
    <w:rsid w:val="00030626"/>
    <w:rsid w:val="00034E64"/>
    <w:rsid w:val="000410F1"/>
    <w:rsid w:val="000416DA"/>
    <w:rsid w:val="00043522"/>
    <w:rsid w:val="0004427B"/>
    <w:rsid w:val="00045794"/>
    <w:rsid w:val="00045CF0"/>
    <w:rsid w:val="00047325"/>
    <w:rsid w:val="000507BB"/>
    <w:rsid w:val="00050FAD"/>
    <w:rsid w:val="00053CC4"/>
    <w:rsid w:val="00056733"/>
    <w:rsid w:val="00057AE5"/>
    <w:rsid w:val="00060F62"/>
    <w:rsid w:val="00066C19"/>
    <w:rsid w:val="00066F23"/>
    <w:rsid w:val="00067CB0"/>
    <w:rsid w:val="00072E0B"/>
    <w:rsid w:val="00084DD0"/>
    <w:rsid w:val="00085F10"/>
    <w:rsid w:val="00092B0D"/>
    <w:rsid w:val="00095044"/>
    <w:rsid w:val="00095636"/>
    <w:rsid w:val="000A5EFC"/>
    <w:rsid w:val="000A6FA7"/>
    <w:rsid w:val="000B05C6"/>
    <w:rsid w:val="000B4FD2"/>
    <w:rsid w:val="000B5DAC"/>
    <w:rsid w:val="000B5F16"/>
    <w:rsid w:val="000B6BAB"/>
    <w:rsid w:val="000C0824"/>
    <w:rsid w:val="000C1E34"/>
    <w:rsid w:val="000C25AD"/>
    <w:rsid w:val="000C379C"/>
    <w:rsid w:val="000D0201"/>
    <w:rsid w:val="000D0A17"/>
    <w:rsid w:val="000E0546"/>
    <w:rsid w:val="000E356B"/>
    <w:rsid w:val="000E3674"/>
    <w:rsid w:val="000F0C79"/>
    <w:rsid w:val="000F0D00"/>
    <w:rsid w:val="000F156B"/>
    <w:rsid w:val="000F4F1F"/>
    <w:rsid w:val="000F58A1"/>
    <w:rsid w:val="000F7DEC"/>
    <w:rsid w:val="00100585"/>
    <w:rsid w:val="00101A84"/>
    <w:rsid w:val="0010391E"/>
    <w:rsid w:val="001045A0"/>
    <w:rsid w:val="001067BD"/>
    <w:rsid w:val="001125C1"/>
    <w:rsid w:val="00116D9B"/>
    <w:rsid w:val="001229C6"/>
    <w:rsid w:val="00127A87"/>
    <w:rsid w:val="00127D6A"/>
    <w:rsid w:val="00134504"/>
    <w:rsid w:val="0013452A"/>
    <w:rsid w:val="001353E7"/>
    <w:rsid w:val="00136BD1"/>
    <w:rsid w:val="001372D1"/>
    <w:rsid w:val="00137F35"/>
    <w:rsid w:val="00140756"/>
    <w:rsid w:val="00140A48"/>
    <w:rsid w:val="00143186"/>
    <w:rsid w:val="00151C32"/>
    <w:rsid w:val="00154ACB"/>
    <w:rsid w:val="00155DD4"/>
    <w:rsid w:val="0015787C"/>
    <w:rsid w:val="001614A4"/>
    <w:rsid w:val="001626D6"/>
    <w:rsid w:val="00164F97"/>
    <w:rsid w:val="001660BE"/>
    <w:rsid w:val="00166B10"/>
    <w:rsid w:val="001743D8"/>
    <w:rsid w:val="001749DF"/>
    <w:rsid w:val="00177D84"/>
    <w:rsid w:val="00180755"/>
    <w:rsid w:val="00190242"/>
    <w:rsid w:val="0019109D"/>
    <w:rsid w:val="00193274"/>
    <w:rsid w:val="00193725"/>
    <w:rsid w:val="00195878"/>
    <w:rsid w:val="001962B7"/>
    <w:rsid w:val="001A1071"/>
    <w:rsid w:val="001A1195"/>
    <w:rsid w:val="001A1D07"/>
    <w:rsid w:val="001A3BCF"/>
    <w:rsid w:val="001A3F11"/>
    <w:rsid w:val="001A49C3"/>
    <w:rsid w:val="001A790C"/>
    <w:rsid w:val="001B060C"/>
    <w:rsid w:val="001B0C39"/>
    <w:rsid w:val="001C1E60"/>
    <w:rsid w:val="001C1EAE"/>
    <w:rsid w:val="001C2585"/>
    <w:rsid w:val="001C640D"/>
    <w:rsid w:val="001C7639"/>
    <w:rsid w:val="001C79A6"/>
    <w:rsid w:val="001D2FA5"/>
    <w:rsid w:val="001D3640"/>
    <w:rsid w:val="001D4E4D"/>
    <w:rsid w:val="001D5774"/>
    <w:rsid w:val="001D594D"/>
    <w:rsid w:val="001D7D50"/>
    <w:rsid w:val="001E06B7"/>
    <w:rsid w:val="001E448C"/>
    <w:rsid w:val="001E4847"/>
    <w:rsid w:val="001E5CC2"/>
    <w:rsid w:val="001E7832"/>
    <w:rsid w:val="001E7C52"/>
    <w:rsid w:val="001F0F91"/>
    <w:rsid w:val="001F25D6"/>
    <w:rsid w:val="001F3530"/>
    <w:rsid w:val="001F67EB"/>
    <w:rsid w:val="00200866"/>
    <w:rsid w:val="00200C94"/>
    <w:rsid w:val="00202078"/>
    <w:rsid w:val="002040D9"/>
    <w:rsid w:val="00204BB4"/>
    <w:rsid w:val="00207053"/>
    <w:rsid w:val="00207CEC"/>
    <w:rsid w:val="002109E7"/>
    <w:rsid w:val="00212254"/>
    <w:rsid w:val="00220032"/>
    <w:rsid w:val="0022080A"/>
    <w:rsid w:val="002213B1"/>
    <w:rsid w:val="00221C72"/>
    <w:rsid w:val="00224C00"/>
    <w:rsid w:val="0022510B"/>
    <w:rsid w:val="00226022"/>
    <w:rsid w:val="0023057B"/>
    <w:rsid w:val="00242433"/>
    <w:rsid w:val="00242C49"/>
    <w:rsid w:val="0024712F"/>
    <w:rsid w:val="002474F7"/>
    <w:rsid w:val="00247614"/>
    <w:rsid w:val="0025055E"/>
    <w:rsid w:val="00253E20"/>
    <w:rsid w:val="00254EAF"/>
    <w:rsid w:val="002609A3"/>
    <w:rsid w:val="00262A43"/>
    <w:rsid w:val="00265FC6"/>
    <w:rsid w:val="00270DA7"/>
    <w:rsid w:val="002711C3"/>
    <w:rsid w:val="00271EBE"/>
    <w:rsid w:val="00273859"/>
    <w:rsid w:val="00275840"/>
    <w:rsid w:val="0028233B"/>
    <w:rsid w:val="00286E04"/>
    <w:rsid w:val="0029397B"/>
    <w:rsid w:val="00296B63"/>
    <w:rsid w:val="002A1E6F"/>
    <w:rsid w:val="002A2000"/>
    <w:rsid w:val="002A6052"/>
    <w:rsid w:val="002A6283"/>
    <w:rsid w:val="002A6284"/>
    <w:rsid w:val="002A6502"/>
    <w:rsid w:val="002A6BD2"/>
    <w:rsid w:val="002A7960"/>
    <w:rsid w:val="002B0E05"/>
    <w:rsid w:val="002B1760"/>
    <w:rsid w:val="002B2376"/>
    <w:rsid w:val="002B3729"/>
    <w:rsid w:val="002B3D88"/>
    <w:rsid w:val="002B7B97"/>
    <w:rsid w:val="002B7EA5"/>
    <w:rsid w:val="002C52F8"/>
    <w:rsid w:val="002C6491"/>
    <w:rsid w:val="002C6958"/>
    <w:rsid w:val="002C7147"/>
    <w:rsid w:val="002D18E6"/>
    <w:rsid w:val="002D69BA"/>
    <w:rsid w:val="002E0B87"/>
    <w:rsid w:val="002E28F0"/>
    <w:rsid w:val="002E43B0"/>
    <w:rsid w:val="002E48A2"/>
    <w:rsid w:val="002E5D9C"/>
    <w:rsid w:val="002E6E45"/>
    <w:rsid w:val="002E77D6"/>
    <w:rsid w:val="002F23FE"/>
    <w:rsid w:val="002F5CF3"/>
    <w:rsid w:val="002F7A7F"/>
    <w:rsid w:val="00301610"/>
    <w:rsid w:val="003052EA"/>
    <w:rsid w:val="00305696"/>
    <w:rsid w:val="00307BCB"/>
    <w:rsid w:val="00312779"/>
    <w:rsid w:val="003135C8"/>
    <w:rsid w:val="0032007A"/>
    <w:rsid w:val="003202B9"/>
    <w:rsid w:val="00321A29"/>
    <w:rsid w:val="003230F7"/>
    <w:rsid w:val="003249CD"/>
    <w:rsid w:val="0032734F"/>
    <w:rsid w:val="003301BC"/>
    <w:rsid w:val="00331161"/>
    <w:rsid w:val="003418BF"/>
    <w:rsid w:val="00344839"/>
    <w:rsid w:val="00352146"/>
    <w:rsid w:val="00355941"/>
    <w:rsid w:val="003562FA"/>
    <w:rsid w:val="00357002"/>
    <w:rsid w:val="00360FC0"/>
    <w:rsid w:val="00363B08"/>
    <w:rsid w:val="00364539"/>
    <w:rsid w:val="00364EEC"/>
    <w:rsid w:val="00366878"/>
    <w:rsid w:val="00373B00"/>
    <w:rsid w:val="00374BC4"/>
    <w:rsid w:val="003857AC"/>
    <w:rsid w:val="00393E2F"/>
    <w:rsid w:val="003943C6"/>
    <w:rsid w:val="003947C0"/>
    <w:rsid w:val="00395710"/>
    <w:rsid w:val="003A08C0"/>
    <w:rsid w:val="003A1FA3"/>
    <w:rsid w:val="003A2E06"/>
    <w:rsid w:val="003A6835"/>
    <w:rsid w:val="003A7AFE"/>
    <w:rsid w:val="003B159E"/>
    <w:rsid w:val="003B634C"/>
    <w:rsid w:val="003B67A2"/>
    <w:rsid w:val="003B70CB"/>
    <w:rsid w:val="003C298B"/>
    <w:rsid w:val="003C33F7"/>
    <w:rsid w:val="003C4602"/>
    <w:rsid w:val="003D19DB"/>
    <w:rsid w:val="003D33EF"/>
    <w:rsid w:val="003E5A04"/>
    <w:rsid w:val="003E733F"/>
    <w:rsid w:val="003E7385"/>
    <w:rsid w:val="003F0071"/>
    <w:rsid w:val="003F0FEB"/>
    <w:rsid w:val="003F34FF"/>
    <w:rsid w:val="003F3E93"/>
    <w:rsid w:val="004018F0"/>
    <w:rsid w:val="00402945"/>
    <w:rsid w:val="00404834"/>
    <w:rsid w:val="00406A94"/>
    <w:rsid w:val="00407F0D"/>
    <w:rsid w:val="00412A98"/>
    <w:rsid w:val="00415940"/>
    <w:rsid w:val="00416994"/>
    <w:rsid w:val="0041769F"/>
    <w:rsid w:val="00417922"/>
    <w:rsid w:val="00417F90"/>
    <w:rsid w:val="00420F20"/>
    <w:rsid w:val="004228A4"/>
    <w:rsid w:val="00423DD2"/>
    <w:rsid w:val="00427BC0"/>
    <w:rsid w:val="00427D56"/>
    <w:rsid w:val="00433472"/>
    <w:rsid w:val="00434EF3"/>
    <w:rsid w:val="00435DB9"/>
    <w:rsid w:val="0043642D"/>
    <w:rsid w:val="0044087E"/>
    <w:rsid w:val="00440A00"/>
    <w:rsid w:val="00442DF4"/>
    <w:rsid w:val="00444F2A"/>
    <w:rsid w:val="004468A0"/>
    <w:rsid w:val="00451B64"/>
    <w:rsid w:val="00456704"/>
    <w:rsid w:val="00461D5A"/>
    <w:rsid w:val="004623F7"/>
    <w:rsid w:val="0046373F"/>
    <w:rsid w:val="00471AFF"/>
    <w:rsid w:val="00474770"/>
    <w:rsid w:val="00476240"/>
    <w:rsid w:val="00476C51"/>
    <w:rsid w:val="00480732"/>
    <w:rsid w:val="00481244"/>
    <w:rsid w:val="0048248B"/>
    <w:rsid w:val="00485764"/>
    <w:rsid w:val="0049116B"/>
    <w:rsid w:val="00496615"/>
    <w:rsid w:val="00497234"/>
    <w:rsid w:val="004A4921"/>
    <w:rsid w:val="004A69DF"/>
    <w:rsid w:val="004B1140"/>
    <w:rsid w:val="004B1E22"/>
    <w:rsid w:val="004B314D"/>
    <w:rsid w:val="004B33D4"/>
    <w:rsid w:val="004B3CD1"/>
    <w:rsid w:val="004B402F"/>
    <w:rsid w:val="004B48DE"/>
    <w:rsid w:val="004B4CE9"/>
    <w:rsid w:val="004C1B54"/>
    <w:rsid w:val="004C45E1"/>
    <w:rsid w:val="004D3270"/>
    <w:rsid w:val="004D42B4"/>
    <w:rsid w:val="004D4532"/>
    <w:rsid w:val="004D68F4"/>
    <w:rsid w:val="004E2028"/>
    <w:rsid w:val="004E3DBD"/>
    <w:rsid w:val="004E6903"/>
    <w:rsid w:val="004E6C8A"/>
    <w:rsid w:val="004F0090"/>
    <w:rsid w:val="004F06DD"/>
    <w:rsid w:val="004F0E31"/>
    <w:rsid w:val="004F5A2C"/>
    <w:rsid w:val="0050040F"/>
    <w:rsid w:val="00501B5D"/>
    <w:rsid w:val="00502F2F"/>
    <w:rsid w:val="0050607C"/>
    <w:rsid w:val="005061FD"/>
    <w:rsid w:val="00507496"/>
    <w:rsid w:val="0050781E"/>
    <w:rsid w:val="00515F35"/>
    <w:rsid w:val="00520038"/>
    <w:rsid w:val="00520AFF"/>
    <w:rsid w:val="0052288E"/>
    <w:rsid w:val="00524173"/>
    <w:rsid w:val="005324D6"/>
    <w:rsid w:val="00533D31"/>
    <w:rsid w:val="00534455"/>
    <w:rsid w:val="00535EFE"/>
    <w:rsid w:val="00536583"/>
    <w:rsid w:val="00536A5E"/>
    <w:rsid w:val="00537CE9"/>
    <w:rsid w:val="00540537"/>
    <w:rsid w:val="0054132D"/>
    <w:rsid w:val="005460F0"/>
    <w:rsid w:val="00552A66"/>
    <w:rsid w:val="005549CF"/>
    <w:rsid w:val="00557647"/>
    <w:rsid w:val="00564A9D"/>
    <w:rsid w:val="00565284"/>
    <w:rsid w:val="0056754D"/>
    <w:rsid w:val="005721EC"/>
    <w:rsid w:val="00572ACC"/>
    <w:rsid w:val="005745A6"/>
    <w:rsid w:val="005808B5"/>
    <w:rsid w:val="00581010"/>
    <w:rsid w:val="0058548C"/>
    <w:rsid w:val="00587BB5"/>
    <w:rsid w:val="00591E8D"/>
    <w:rsid w:val="00592699"/>
    <w:rsid w:val="00597587"/>
    <w:rsid w:val="00597C0B"/>
    <w:rsid w:val="005A2BED"/>
    <w:rsid w:val="005A657D"/>
    <w:rsid w:val="005A737B"/>
    <w:rsid w:val="005A7D8C"/>
    <w:rsid w:val="005B2039"/>
    <w:rsid w:val="005B3EB4"/>
    <w:rsid w:val="005B41B0"/>
    <w:rsid w:val="005B4EB5"/>
    <w:rsid w:val="005B6870"/>
    <w:rsid w:val="005B6C06"/>
    <w:rsid w:val="005B6DF3"/>
    <w:rsid w:val="005C3A12"/>
    <w:rsid w:val="005C4660"/>
    <w:rsid w:val="005D18FC"/>
    <w:rsid w:val="005D3765"/>
    <w:rsid w:val="005D58CA"/>
    <w:rsid w:val="005D7776"/>
    <w:rsid w:val="005E02E5"/>
    <w:rsid w:val="005E1CA0"/>
    <w:rsid w:val="005F25B2"/>
    <w:rsid w:val="005F6CDF"/>
    <w:rsid w:val="0060109B"/>
    <w:rsid w:val="006041D3"/>
    <w:rsid w:val="00610669"/>
    <w:rsid w:val="0061681E"/>
    <w:rsid w:val="00622AB9"/>
    <w:rsid w:val="006248D7"/>
    <w:rsid w:val="0063210B"/>
    <w:rsid w:val="00632365"/>
    <w:rsid w:val="00636D46"/>
    <w:rsid w:val="006371D4"/>
    <w:rsid w:val="0063778D"/>
    <w:rsid w:val="006404F6"/>
    <w:rsid w:val="00645823"/>
    <w:rsid w:val="00652C44"/>
    <w:rsid w:val="006540EF"/>
    <w:rsid w:val="0065458E"/>
    <w:rsid w:val="0065528B"/>
    <w:rsid w:val="00656C4F"/>
    <w:rsid w:val="00657E8F"/>
    <w:rsid w:val="00667644"/>
    <w:rsid w:val="00667737"/>
    <w:rsid w:val="0067022A"/>
    <w:rsid w:val="0067177C"/>
    <w:rsid w:val="006717EA"/>
    <w:rsid w:val="006738F3"/>
    <w:rsid w:val="006775BD"/>
    <w:rsid w:val="0068258B"/>
    <w:rsid w:val="00683797"/>
    <w:rsid w:val="00685D7D"/>
    <w:rsid w:val="00691CA5"/>
    <w:rsid w:val="00691D39"/>
    <w:rsid w:val="00693FF5"/>
    <w:rsid w:val="00694B03"/>
    <w:rsid w:val="00695226"/>
    <w:rsid w:val="0069559B"/>
    <w:rsid w:val="00695D73"/>
    <w:rsid w:val="006960AE"/>
    <w:rsid w:val="006A314B"/>
    <w:rsid w:val="006A4609"/>
    <w:rsid w:val="006A498B"/>
    <w:rsid w:val="006A5C89"/>
    <w:rsid w:val="006A5D3C"/>
    <w:rsid w:val="006A7EAD"/>
    <w:rsid w:val="006C1C41"/>
    <w:rsid w:val="006C2A88"/>
    <w:rsid w:val="006C3D72"/>
    <w:rsid w:val="006D017F"/>
    <w:rsid w:val="006D11F5"/>
    <w:rsid w:val="006D1279"/>
    <w:rsid w:val="006E15FC"/>
    <w:rsid w:val="006E1BC2"/>
    <w:rsid w:val="006E2AC2"/>
    <w:rsid w:val="00701057"/>
    <w:rsid w:val="00705579"/>
    <w:rsid w:val="00705C66"/>
    <w:rsid w:val="0070621A"/>
    <w:rsid w:val="007065B1"/>
    <w:rsid w:val="00714C50"/>
    <w:rsid w:val="00716CFA"/>
    <w:rsid w:val="00716F7B"/>
    <w:rsid w:val="007201DE"/>
    <w:rsid w:val="0072169C"/>
    <w:rsid w:val="007258BF"/>
    <w:rsid w:val="00725B6F"/>
    <w:rsid w:val="00725BE2"/>
    <w:rsid w:val="00726CF7"/>
    <w:rsid w:val="007334B6"/>
    <w:rsid w:val="00737246"/>
    <w:rsid w:val="00737784"/>
    <w:rsid w:val="007407EE"/>
    <w:rsid w:val="007432FB"/>
    <w:rsid w:val="00746EFA"/>
    <w:rsid w:val="007479E5"/>
    <w:rsid w:val="0075284B"/>
    <w:rsid w:val="00752DA1"/>
    <w:rsid w:val="00754C4B"/>
    <w:rsid w:val="007565E2"/>
    <w:rsid w:val="007568BA"/>
    <w:rsid w:val="0075752A"/>
    <w:rsid w:val="00762402"/>
    <w:rsid w:val="0076496D"/>
    <w:rsid w:val="007717FF"/>
    <w:rsid w:val="007725F7"/>
    <w:rsid w:val="00772D16"/>
    <w:rsid w:val="00782271"/>
    <w:rsid w:val="0079020F"/>
    <w:rsid w:val="00793348"/>
    <w:rsid w:val="00793615"/>
    <w:rsid w:val="007947F4"/>
    <w:rsid w:val="007A3B56"/>
    <w:rsid w:val="007A41AF"/>
    <w:rsid w:val="007B19B8"/>
    <w:rsid w:val="007B25E4"/>
    <w:rsid w:val="007B4893"/>
    <w:rsid w:val="007B71CB"/>
    <w:rsid w:val="007C0D40"/>
    <w:rsid w:val="007C3967"/>
    <w:rsid w:val="007C3F8C"/>
    <w:rsid w:val="007C59BC"/>
    <w:rsid w:val="007C7E13"/>
    <w:rsid w:val="007D2EBC"/>
    <w:rsid w:val="007D30F4"/>
    <w:rsid w:val="007D691F"/>
    <w:rsid w:val="007D6D1A"/>
    <w:rsid w:val="007F1437"/>
    <w:rsid w:val="007F18BD"/>
    <w:rsid w:val="007F1C98"/>
    <w:rsid w:val="007F1D3F"/>
    <w:rsid w:val="007F67AF"/>
    <w:rsid w:val="007F7C8E"/>
    <w:rsid w:val="00802C03"/>
    <w:rsid w:val="00803100"/>
    <w:rsid w:val="00804016"/>
    <w:rsid w:val="00804179"/>
    <w:rsid w:val="00804611"/>
    <w:rsid w:val="00805648"/>
    <w:rsid w:val="00806402"/>
    <w:rsid w:val="008078AB"/>
    <w:rsid w:val="00811F24"/>
    <w:rsid w:val="00815321"/>
    <w:rsid w:val="00815AAC"/>
    <w:rsid w:val="00815EEA"/>
    <w:rsid w:val="0081626C"/>
    <w:rsid w:val="0082427B"/>
    <w:rsid w:val="008244FB"/>
    <w:rsid w:val="00827F43"/>
    <w:rsid w:val="00836779"/>
    <w:rsid w:val="008435E5"/>
    <w:rsid w:val="00844CC9"/>
    <w:rsid w:val="00845EE9"/>
    <w:rsid w:val="00852FB8"/>
    <w:rsid w:val="00853374"/>
    <w:rsid w:val="008544B6"/>
    <w:rsid w:val="00854C6C"/>
    <w:rsid w:val="00857FB5"/>
    <w:rsid w:val="00862B7F"/>
    <w:rsid w:val="00866788"/>
    <w:rsid w:val="008679FA"/>
    <w:rsid w:val="0087236C"/>
    <w:rsid w:val="008739F1"/>
    <w:rsid w:val="00876439"/>
    <w:rsid w:val="008774F5"/>
    <w:rsid w:val="00880DB2"/>
    <w:rsid w:val="0088138B"/>
    <w:rsid w:val="00886015"/>
    <w:rsid w:val="00894D8C"/>
    <w:rsid w:val="00895BB1"/>
    <w:rsid w:val="008A2A31"/>
    <w:rsid w:val="008A410C"/>
    <w:rsid w:val="008A4354"/>
    <w:rsid w:val="008A6784"/>
    <w:rsid w:val="008A7F4E"/>
    <w:rsid w:val="008B0D06"/>
    <w:rsid w:val="008B0F82"/>
    <w:rsid w:val="008B4753"/>
    <w:rsid w:val="008B6D48"/>
    <w:rsid w:val="008D3184"/>
    <w:rsid w:val="008D68C6"/>
    <w:rsid w:val="008D745F"/>
    <w:rsid w:val="008D77AF"/>
    <w:rsid w:val="008D78B1"/>
    <w:rsid w:val="008E0BC1"/>
    <w:rsid w:val="008F28D2"/>
    <w:rsid w:val="008F646E"/>
    <w:rsid w:val="008F65C7"/>
    <w:rsid w:val="008F67B3"/>
    <w:rsid w:val="008F773A"/>
    <w:rsid w:val="009008DB"/>
    <w:rsid w:val="00903270"/>
    <w:rsid w:val="0090545F"/>
    <w:rsid w:val="009070FF"/>
    <w:rsid w:val="0091004C"/>
    <w:rsid w:val="00911570"/>
    <w:rsid w:val="00914771"/>
    <w:rsid w:val="00915B11"/>
    <w:rsid w:val="00917943"/>
    <w:rsid w:val="009205C9"/>
    <w:rsid w:val="00921B9B"/>
    <w:rsid w:val="009221D6"/>
    <w:rsid w:val="009222CF"/>
    <w:rsid w:val="009301A1"/>
    <w:rsid w:val="00932048"/>
    <w:rsid w:val="00935091"/>
    <w:rsid w:val="009407D1"/>
    <w:rsid w:val="009433BA"/>
    <w:rsid w:val="00944F9A"/>
    <w:rsid w:val="009466E6"/>
    <w:rsid w:val="0095380E"/>
    <w:rsid w:val="0095405E"/>
    <w:rsid w:val="009601E7"/>
    <w:rsid w:val="00960B4F"/>
    <w:rsid w:val="00960D09"/>
    <w:rsid w:val="00963411"/>
    <w:rsid w:val="00965378"/>
    <w:rsid w:val="0096655F"/>
    <w:rsid w:val="009672E5"/>
    <w:rsid w:val="00977723"/>
    <w:rsid w:val="00981094"/>
    <w:rsid w:val="009902F2"/>
    <w:rsid w:val="00990868"/>
    <w:rsid w:val="00993654"/>
    <w:rsid w:val="00993855"/>
    <w:rsid w:val="00995053"/>
    <w:rsid w:val="009A01ED"/>
    <w:rsid w:val="009A7537"/>
    <w:rsid w:val="009C2D61"/>
    <w:rsid w:val="009C3004"/>
    <w:rsid w:val="009D00A4"/>
    <w:rsid w:val="009D0932"/>
    <w:rsid w:val="009D21D2"/>
    <w:rsid w:val="009D4D0D"/>
    <w:rsid w:val="009D4F7A"/>
    <w:rsid w:val="009E00F5"/>
    <w:rsid w:val="009E0E49"/>
    <w:rsid w:val="009E2AF6"/>
    <w:rsid w:val="009E56A1"/>
    <w:rsid w:val="009F0CAF"/>
    <w:rsid w:val="009F0FBC"/>
    <w:rsid w:val="009F47B2"/>
    <w:rsid w:val="00A01BF8"/>
    <w:rsid w:val="00A02403"/>
    <w:rsid w:val="00A0537C"/>
    <w:rsid w:val="00A06624"/>
    <w:rsid w:val="00A10658"/>
    <w:rsid w:val="00A14F4E"/>
    <w:rsid w:val="00A1646C"/>
    <w:rsid w:val="00A164E4"/>
    <w:rsid w:val="00A208C9"/>
    <w:rsid w:val="00A20F3E"/>
    <w:rsid w:val="00A24BAB"/>
    <w:rsid w:val="00A27A55"/>
    <w:rsid w:val="00A33D3B"/>
    <w:rsid w:val="00A35E29"/>
    <w:rsid w:val="00A3630A"/>
    <w:rsid w:val="00A4005A"/>
    <w:rsid w:val="00A413AF"/>
    <w:rsid w:val="00A41765"/>
    <w:rsid w:val="00A43F5E"/>
    <w:rsid w:val="00A44074"/>
    <w:rsid w:val="00A477D1"/>
    <w:rsid w:val="00A47CD8"/>
    <w:rsid w:val="00A6089D"/>
    <w:rsid w:val="00A62D86"/>
    <w:rsid w:val="00A67173"/>
    <w:rsid w:val="00A67B3D"/>
    <w:rsid w:val="00A67CED"/>
    <w:rsid w:val="00A71F9B"/>
    <w:rsid w:val="00A72D36"/>
    <w:rsid w:val="00A72DB1"/>
    <w:rsid w:val="00A75407"/>
    <w:rsid w:val="00A758CE"/>
    <w:rsid w:val="00A779E6"/>
    <w:rsid w:val="00A86172"/>
    <w:rsid w:val="00A87628"/>
    <w:rsid w:val="00A87767"/>
    <w:rsid w:val="00A92405"/>
    <w:rsid w:val="00A92CD2"/>
    <w:rsid w:val="00A93DE9"/>
    <w:rsid w:val="00AA13A7"/>
    <w:rsid w:val="00AA3E75"/>
    <w:rsid w:val="00AA6743"/>
    <w:rsid w:val="00AB0D9F"/>
    <w:rsid w:val="00AB2C47"/>
    <w:rsid w:val="00AB50BA"/>
    <w:rsid w:val="00AB5525"/>
    <w:rsid w:val="00AB709C"/>
    <w:rsid w:val="00AC0249"/>
    <w:rsid w:val="00AC045F"/>
    <w:rsid w:val="00AC51C0"/>
    <w:rsid w:val="00AC577E"/>
    <w:rsid w:val="00AC5AD6"/>
    <w:rsid w:val="00AD73BE"/>
    <w:rsid w:val="00AE0CEC"/>
    <w:rsid w:val="00AE1AF4"/>
    <w:rsid w:val="00AE2E69"/>
    <w:rsid w:val="00AE6BF7"/>
    <w:rsid w:val="00AE7FB5"/>
    <w:rsid w:val="00AF0872"/>
    <w:rsid w:val="00AF7482"/>
    <w:rsid w:val="00AF7962"/>
    <w:rsid w:val="00B018E2"/>
    <w:rsid w:val="00B041E5"/>
    <w:rsid w:val="00B13523"/>
    <w:rsid w:val="00B14040"/>
    <w:rsid w:val="00B143DF"/>
    <w:rsid w:val="00B14DC0"/>
    <w:rsid w:val="00B151D2"/>
    <w:rsid w:val="00B15EE8"/>
    <w:rsid w:val="00B15F0F"/>
    <w:rsid w:val="00B1668C"/>
    <w:rsid w:val="00B17B41"/>
    <w:rsid w:val="00B21961"/>
    <w:rsid w:val="00B23B2F"/>
    <w:rsid w:val="00B25A68"/>
    <w:rsid w:val="00B32D7D"/>
    <w:rsid w:val="00B361FE"/>
    <w:rsid w:val="00B4167A"/>
    <w:rsid w:val="00B418FE"/>
    <w:rsid w:val="00B43B4C"/>
    <w:rsid w:val="00B441EF"/>
    <w:rsid w:val="00B46FA2"/>
    <w:rsid w:val="00B50F76"/>
    <w:rsid w:val="00B52639"/>
    <w:rsid w:val="00B54F91"/>
    <w:rsid w:val="00B57334"/>
    <w:rsid w:val="00B605EB"/>
    <w:rsid w:val="00B630E3"/>
    <w:rsid w:val="00B63B24"/>
    <w:rsid w:val="00B64DE3"/>
    <w:rsid w:val="00B73E0E"/>
    <w:rsid w:val="00B74806"/>
    <w:rsid w:val="00B77470"/>
    <w:rsid w:val="00B80B43"/>
    <w:rsid w:val="00B814EF"/>
    <w:rsid w:val="00B8157C"/>
    <w:rsid w:val="00B82273"/>
    <w:rsid w:val="00B84450"/>
    <w:rsid w:val="00B9077B"/>
    <w:rsid w:val="00B93288"/>
    <w:rsid w:val="00B95AFF"/>
    <w:rsid w:val="00BA426F"/>
    <w:rsid w:val="00BA5C48"/>
    <w:rsid w:val="00BA68E3"/>
    <w:rsid w:val="00BA7EC0"/>
    <w:rsid w:val="00BB62B8"/>
    <w:rsid w:val="00BB6939"/>
    <w:rsid w:val="00BB6B46"/>
    <w:rsid w:val="00BB6E6C"/>
    <w:rsid w:val="00BC05FA"/>
    <w:rsid w:val="00BC097C"/>
    <w:rsid w:val="00BC49C5"/>
    <w:rsid w:val="00BC55F9"/>
    <w:rsid w:val="00BC5769"/>
    <w:rsid w:val="00BD0A8C"/>
    <w:rsid w:val="00BD2CB3"/>
    <w:rsid w:val="00BD32E6"/>
    <w:rsid w:val="00BD3350"/>
    <w:rsid w:val="00BD4DC3"/>
    <w:rsid w:val="00BD62CA"/>
    <w:rsid w:val="00BE0681"/>
    <w:rsid w:val="00BE1B09"/>
    <w:rsid w:val="00BE2E31"/>
    <w:rsid w:val="00BE3CA6"/>
    <w:rsid w:val="00BE74CA"/>
    <w:rsid w:val="00BF4CE6"/>
    <w:rsid w:val="00BF7E66"/>
    <w:rsid w:val="00C010C0"/>
    <w:rsid w:val="00C02C11"/>
    <w:rsid w:val="00C040C1"/>
    <w:rsid w:val="00C04BDF"/>
    <w:rsid w:val="00C0704C"/>
    <w:rsid w:val="00C12523"/>
    <w:rsid w:val="00C15CCF"/>
    <w:rsid w:val="00C16B5C"/>
    <w:rsid w:val="00C20BF7"/>
    <w:rsid w:val="00C211C7"/>
    <w:rsid w:val="00C2123D"/>
    <w:rsid w:val="00C24FCA"/>
    <w:rsid w:val="00C27617"/>
    <w:rsid w:val="00C31816"/>
    <w:rsid w:val="00C33304"/>
    <w:rsid w:val="00C34172"/>
    <w:rsid w:val="00C3577A"/>
    <w:rsid w:val="00C3665E"/>
    <w:rsid w:val="00C3733F"/>
    <w:rsid w:val="00C40793"/>
    <w:rsid w:val="00C42275"/>
    <w:rsid w:val="00C46225"/>
    <w:rsid w:val="00C53922"/>
    <w:rsid w:val="00C60593"/>
    <w:rsid w:val="00C61E47"/>
    <w:rsid w:val="00C63D40"/>
    <w:rsid w:val="00C82827"/>
    <w:rsid w:val="00C82AD4"/>
    <w:rsid w:val="00C8478B"/>
    <w:rsid w:val="00C85C75"/>
    <w:rsid w:val="00C95071"/>
    <w:rsid w:val="00C95F95"/>
    <w:rsid w:val="00CA1B8E"/>
    <w:rsid w:val="00CA1BCC"/>
    <w:rsid w:val="00CA4B19"/>
    <w:rsid w:val="00CA4CDB"/>
    <w:rsid w:val="00CA6833"/>
    <w:rsid w:val="00CA788B"/>
    <w:rsid w:val="00CB0349"/>
    <w:rsid w:val="00CB1982"/>
    <w:rsid w:val="00CB24D8"/>
    <w:rsid w:val="00CB2850"/>
    <w:rsid w:val="00CB582B"/>
    <w:rsid w:val="00CB5CAA"/>
    <w:rsid w:val="00CB68E9"/>
    <w:rsid w:val="00CB6FAF"/>
    <w:rsid w:val="00CC3D5E"/>
    <w:rsid w:val="00CC44BF"/>
    <w:rsid w:val="00CD1620"/>
    <w:rsid w:val="00CD3E97"/>
    <w:rsid w:val="00CE18D0"/>
    <w:rsid w:val="00CE39C1"/>
    <w:rsid w:val="00CE7081"/>
    <w:rsid w:val="00D0041C"/>
    <w:rsid w:val="00D03331"/>
    <w:rsid w:val="00D06D13"/>
    <w:rsid w:val="00D13A3D"/>
    <w:rsid w:val="00D16EE6"/>
    <w:rsid w:val="00D176F1"/>
    <w:rsid w:val="00D20846"/>
    <w:rsid w:val="00D2695F"/>
    <w:rsid w:val="00D302D6"/>
    <w:rsid w:val="00D316C5"/>
    <w:rsid w:val="00D3368B"/>
    <w:rsid w:val="00D345C3"/>
    <w:rsid w:val="00D3610C"/>
    <w:rsid w:val="00D414DD"/>
    <w:rsid w:val="00D43817"/>
    <w:rsid w:val="00D43CE1"/>
    <w:rsid w:val="00D51F4D"/>
    <w:rsid w:val="00D52124"/>
    <w:rsid w:val="00D53237"/>
    <w:rsid w:val="00D55667"/>
    <w:rsid w:val="00D572DF"/>
    <w:rsid w:val="00D600C9"/>
    <w:rsid w:val="00D61047"/>
    <w:rsid w:val="00D67A5A"/>
    <w:rsid w:val="00D72776"/>
    <w:rsid w:val="00D72B7C"/>
    <w:rsid w:val="00D77069"/>
    <w:rsid w:val="00D77FB8"/>
    <w:rsid w:val="00D83014"/>
    <w:rsid w:val="00D84548"/>
    <w:rsid w:val="00D84969"/>
    <w:rsid w:val="00D92975"/>
    <w:rsid w:val="00D9505A"/>
    <w:rsid w:val="00D959D1"/>
    <w:rsid w:val="00D96CCE"/>
    <w:rsid w:val="00DA09F5"/>
    <w:rsid w:val="00DA3F47"/>
    <w:rsid w:val="00DA4D3B"/>
    <w:rsid w:val="00DA78A9"/>
    <w:rsid w:val="00DA7B91"/>
    <w:rsid w:val="00DB30B9"/>
    <w:rsid w:val="00DB5C1C"/>
    <w:rsid w:val="00DB6C81"/>
    <w:rsid w:val="00DC0171"/>
    <w:rsid w:val="00DC1CBF"/>
    <w:rsid w:val="00DC75CD"/>
    <w:rsid w:val="00DD22A2"/>
    <w:rsid w:val="00DD4578"/>
    <w:rsid w:val="00DD7AB7"/>
    <w:rsid w:val="00DE0213"/>
    <w:rsid w:val="00DE339D"/>
    <w:rsid w:val="00DF08CC"/>
    <w:rsid w:val="00DF173B"/>
    <w:rsid w:val="00DF3849"/>
    <w:rsid w:val="00DF58EA"/>
    <w:rsid w:val="00E005EF"/>
    <w:rsid w:val="00E00760"/>
    <w:rsid w:val="00E02599"/>
    <w:rsid w:val="00E03317"/>
    <w:rsid w:val="00E05B4C"/>
    <w:rsid w:val="00E07951"/>
    <w:rsid w:val="00E10E9B"/>
    <w:rsid w:val="00E1398C"/>
    <w:rsid w:val="00E2259B"/>
    <w:rsid w:val="00E234FC"/>
    <w:rsid w:val="00E23FE9"/>
    <w:rsid w:val="00E270AE"/>
    <w:rsid w:val="00E3203E"/>
    <w:rsid w:val="00E36325"/>
    <w:rsid w:val="00E411D2"/>
    <w:rsid w:val="00E41489"/>
    <w:rsid w:val="00E42AB9"/>
    <w:rsid w:val="00E43C27"/>
    <w:rsid w:val="00E46D88"/>
    <w:rsid w:val="00E47706"/>
    <w:rsid w:val="00E47C19"/>
    <w:rsid w:val="00E52857"/>
    <w:rsid w:val="00E52D4B"/>
    <w:rsid w:val="00E542A8"/>
    <w:rsid w:val="00E648E5"/>
    <w:rsid w:val="00E6646C"/>
    <w:rsid w:val="00E71F4D"/>
    <w:rsid w:val="00E73406"/>
    <w:rsid w:val="00E757D3"/>
    <w:rsid w:val="00E75B0A"/>
    <w:rsid w:val="00E77A72"/>
    <w:rsid w:val="00E77C37"/>
    <w:rsid w:val="00E86745"/>
    <w:rsid w:val="00E90FEF"/>
    <w:rsid w:val="00E91ADF"/>
    <w:rsid w:val="00E938CC"/>
    <w:rsid w:val="00EA00CC"/>
    <w:rsid w:val="00EA3D79"/>
    <w:rsid w:val="00EA718A"/>
    <w:rsid w:val="00EB195E"/>
    <w:rsid w:val="00EB25DD"/>
    <w:rsid w:val="00EB2D91"/>
    <w:rsid w:val="00EC25FA"/>
    <w:rsid w:val="00EC4D6E"/>
    <w:rsid w:val="00EC5288"/>
    <w:rsid w:val="00EC551E"/>
    <w:rsid w:val="00EC56B1"/>
    <w:rsid w:val="00EC7850"/>
    <w:rsid w:val="00ED2528"/>
    <w:rsid w:val="00ED3DBC"/>
    <w:rsid w:val="00EE0AE1"/>
    <w:rsid w:val="00EE30BA"/>
    <w:rsid w:val="00EE3543"/>
    <w:rsid w:val="00EE4853"/>
    <w:rsid w:val="00EE4CE3"/>
    <w:rsid w:val="00EF209F"/>
    <w:rsid w:val="00EF3501"/>
    <w:rsid w:val="00EF4931"/>
    <w:rsid w:val="00EF7D5D"/>
    <w:rsid w:val="00F00520"/>
    <w:rsid w:val="00F00A5C"/>
    <w:rsid w:val="00F02A22"/>
    <w:rsid w:val="00F03ABE"/>
    <w:rsid w:val="00F061A0"/>
    <w:rsid w:val="00F143EB"/>
    <w:rsid w:val="00F17216"/>
    <w:rsid w:val="00F17535"/>
    <w:rsid w:val="00F206CE"/>
    <w:rsid w:val="00F21611"/>
    <w:rsid w:val="00F21E88"/>
    <w:rsid w:val="00F220E1"/>
    <w:rsid w:val="00F30CCA"/>
    <w:rsid w:val="00F3274E"/>
    <w:rsid w:val="00F40342"/>
    <w:rsid w:val="00F4295E"/>
    <w:rsid w:val="00F43619"/>
    <w:rsid w:val="00F44E6A"/>
    <w:rsid w:val="00F4729E"/>
    <w:rsid w:val="00F47395"/>
    <w:rsid w:val="00F53163"/>
    <w:rsid w:val="00F54B94"/>
    <w:rsid w:val="00F54FC3"/>
    <w:rsid w:val="00F56105"/>
    <w:rsid w:val="00F56E50"/>
    <w:rsid w:val="00F6088C"/>
    <w:rsid w:val="00F6114C"/>
    <w:rsid w:val="00F635E2"/>
    <w:rsid w:val="00F63892"/>
    <w:rsid w:val="00F64B83"/>
    <w:rsid w:val="00F70525"/>
    <w:rsid w:val="00F71FDD"/>
    <w:rsid w:val="00F727F5"/>
    <w:rsid w:val="00F76129"/>
    <w:rsid w:val="00F77823"/>
    <w:rsid w:val="00F81385"/>
    <w:rsid w:val="00F83833"/>
    <w:rsid w:val="00F905F4"/>
    <w:rsid w:val="00F93256"/>
    <w:rsid w:val="00F93610"/>
    <w:rsid w:val="00FA0C21"/>
    <w:rsid w:val="00FA2364"/>
    <w:rsid w:val="00FA3469"/>
    <w:rsid w:val="00FA4A30"/>
    <w:rsid w:val="00FA4F98"/>
    <w:rsid w:val="00FA51FA"/>
    <w:rsid w:val="00FA79BF"/>
    <w:rsid w:val="00FB746B"/>
    <w:rsid w:val="00FC264B"/>
    <w:rsid w:val="00FC49A9"/>
    <w:rsid w:val="00FC6D3D"/>
    <w:rsid w:val="00FC73D8"/>
    <w:rsid w:val="00FD36E8"/>
    <w:rsid w:val="00FD685C"/>
    <w:rsid w:val="00FE1925"/>
    <w:rsid w:val="00FE45A3"/>
    <w:rsid w:val="00FF15EC"/>
    <w:rsid w:val="00FF1FF2"/>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paragraph" w:customStyle="1" w:styleId="Default">
    <w:name w:val="Default"/>
    <w:rsid w:val="006D11F5"/>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paragraph" w:customStyle="1" w:styleId="Default">
    <w:name w:val="Default"/>
    <w:rsid w:val="006D11F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 w:id="2113285503">
      <w:bodyDiv w:val="1"/>
      <w:marLeft w:val="0"/>
      <w:marRight w:val="0"/>
      <w:marTop w:val="0"/>
      <w:marBottom w:val="0"/>
      <w:divBdr>
        <w:top w:val="none" w:sz="0" w:space="0" w:color="auto"/>
        <w:left w:val="none" w:sz="0" w:space="0" w:color="auto"/>
        <w:bottom w:val="none" w:sz="0" w:space="0" w:color="auto"/>
        <w:right w:val="none" w:sz="0" w:space="0" w:color="auto"/>
      </w:divBdr>
      <w:divsChild>
        <w:div w:id="716928101">
          <w:marLeft w:val="0"/>
          <w:marRight w:val="0"/>
          <w:marTop w:val="0"/>
          <w:marBottom w:val="0"/>
          <w:divBdr>
            <w:top w:val="none" w:sz="0" w:space="0" w:color="auto"/>
            <w:left w:val="none" w:sz="0" w:space="0" w:color="auto"/>
            <w:bottom w:val="none" w:sz="0" w:space="0" w:color="auto"/>
            <w:right w:val="none" w:sz="0" w:space="0" w:color="auto"/>
          </w:divBdr>
        </w:div>
        <w:div w:id="202231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E:\&#1054;&#1058;&#1063;&#1045;&#1058;%20&#1040;&#1055;&#1056;&#1048;&#1051;-&#1070;&#1053;&#1048;%20&#1050;&#1055;\&#1074;&#1098;&#1079;&#1088;&#1072;&#1089;&#109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statistika%20KP_2016\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4;&#1058;&#1063;&#1045;&#1058;%20&#1040;&#1055;&#1056;&#1048;&#1051;-&#1070;&#1053;&#1048;%20&#1050;&#1055;\&#1054;&#1058;&#1050;&#1040;&#1047;&#1048;%20&#1055;&#1054;%20&#1052;&#1054;&#1058;&#1048;&#1042;&#104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va%20Pushkarova\Desktop\statistika%20KP_2016\18.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E:\&#1054;&#1058;&#1063;&#1045;&#1058;%20&#1040;&#1055;&#1056;&#1048;&#1051;-&#1070;&#1053;&#1048;%20&#1050;&#1055;\&#1088;&#1086;&#1076;&#1080;&#1090;&#1077;&#108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Iva%20Pushkarova\Desktop\statistika%20KP_2016\10.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E:\&#1054;&#1058;&#1063;&#1045;&#1058;%20&#1040;&#1055;&#1056;&#1048;&#1051;-&#1070;&#1053;&#1048;%20&#1050;&#1055;\&#1085;&#1080;&#1074;&#1072;%20&#1085;&#1072;%20&#1088;&#1080;&#1089;&#1082;&#1072;.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E:\&#1054;&#1058;&#1063;&#1045;&#1058;%20&#1040;&#1055;&#1056;&#1048;&#1051;-&#1070;&#1053;&#1048;%20&#1050;&#1055;\&#1079;&#1086;&#1085;&#1080;%20&#1085;&#1072;%20&#1088;&#1080;&#1089;&#1082;&#1072;.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E:\&#1054;&#1058;&#1063;&#1045;&#1058;%20&#1040;&#1055;&#1056;&#1048;&#1051;-&#1070;&#1053;&#1048;%20&#1050;&#1055;\&#1087;&#1086;%20&#1079;&#1072;&#1090;&#1074;&#1086;&#1088;&#1080;.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E:\&#1054;&#1058;&#1063;&#1045;&#1058;%20&#1040;&#1055;&#1056;&#1048;&#1051;-&#1070;&#1053;&#1048;%20&#1050;&#1055;\&#1088;&#1077;&#1096;&#1077;&#1085;&#1080;%20&#1087;&#1086;%20&#1085;&#1072;&#1082;&#1072;&#1079;&#1072;&#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va%20Pushkarova\Desktop\statistika%20KP_201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100" b="1" i="0" baseline="0">
                <a:effectLst/>
                <a:latin typeface="+mj-lt"/>
              </a:rPr>
              <a:t>ОСЪДЕНИТЕ МОЛИТЕЛИ ПО ВЪЗРАСТ</a:t>
            </a:r>
            <a:endParaRPr lang="bg-BG" sz="1100">
              <a:effectLst/>
              <a:latin typeface="+mj-lt"/>
            </a:endParaRPr>
          </a:p>
        </c:rich>
      </c:tx>
      <c:layout>
        <c:manualLayout>
          <c:xMode val="edge"/>
          <c:yMode val="edge"/>
          <c:x val="8.8818897637795245E-3"/>
          <c:y val="2.3148148148148147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'2012-02-12 - 2016-06-30'!$E$1:$J$1</c:f>
              <c:strCache>
                <c:ptCount val="6"/>
                <c:pt idx="0">
                  <c:v>18 - 21 години</c:v>
                </c:pt>
                <c:pt idx="1">
                  <c:v>21 - 30 години</c:v>
                </c:pt>
                <c:pt idx="2">
                  <c:v>31 - 40 години</c:v>
                </c:pt>
                <c:pt idx="3">
                  <c:v>41 - 50 години</c:v>
                </c:pt>
                <c:pt idx="4">
                  <c:v>51 - 60 години</c:v>
                </c:pt>
                <c:pt idx="5">
                  <c:v>61 - 70 години</c:v>
                </c:pt>
              </c:strCache>
            </c:strRef>
          </c:cat>
          <c:val>
            <c:numRef>
              <c:f>'2012-02-12 - 2016-06-30'!$E$2:$J$2</c:f>
              <c:numCache>
                <c:formatCode>General</c:formatCode>
                <c:ptCount val="6"/>
                <c:pt idx="0">
                  <c:v>1</c:v>
                </c:pt>
                <c:pt idx="1">
                  <c:v>11</c:v>
                </c:pt>
                <c:pt idx="2">
                  <c:v>26</c:v>
                </c:pt>
                <c:pt idx="3">
                  <c:v>19</c:v>
                </c:pt>
                <c:pt idx="4">
                  <c:v>9</c:v>
                </c:pt>
                <c:pt idx="5">
                  <c:v>6</c:v>
                </c:pt>
              </c:numCache>
            </c:numRef>
          </c:val>
        </c:ser>
        <c:dLbls>
          <c:dLblPos val="outEnd"/>
          <c:showLegendKey val="0"/>
          <c:showVal val="1"/>
          <c:showCatName val="0"/>
          <c:showSerName val="0"/>
          <c:showPercent val="0"/>
          <c:showBubbleSize val="0"/>
        </c:dLbls>
        <c:gapWidth val="219"/>
        <c:overlap val="-27"/>
        <c:axId val="176816640"/>
        <c:axId val="53606016"/>
      </c:barChart>
      <c:catAx>
        <c:axId val="1768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bg-BG"/>
          </a:p>
        </c:txPr>
        <c:crossAx val="53606016"/>
        <c:crosses val="autoZero"/>
        <c:auto val="1"/>
        <c:lblAlgn val="ctr"/>
        <c:lblOffset val="100"/>
        <c:noMultiLvlLbl val="0"/>
      </c:catAx>
      <c:valAx>
        <c:axId val="53606016"/>
        <c:scaling>
          <c:orientation val="minMax"/>
        </c:scaling>
        <c:delete val="1"/>
        <c:axPos val="l"/>
        <c:numFmt formatCode="General" sourceLinked="1"/>
        <c:majorTickMark val="none"/>
        <c:minorTickMark val="none"/>
        <c:tickLblPos val="nextTo"/>
        <c:crossAx val="17681664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bg-B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latin typeface="+mj-lt"/>
              </a:defRPr>
            </a:pPr>
            <a:r>
              <a:rPr lang="bg-BG" sz="1000">
                <a:latin typeface="+mj-lt"/>
              </a:rPr>
              <a:t>МОТИВИ НА</a:t>
            </a:r>
            <a:r>
              <a:rPr lang="bg-BG" sz="1000" baseline="0">
                <a:latin typeface="+mj-lt"/>
              </a:rPr>
              <a:t> КП ДА ПРЕДЛОЖИ ОТКАЗ</a:t>
            </a:r>
            <a:r>
              <a:rPr lang="bg-BG" sz="1000">
                <a:latin typeface="+mj-lt"/>
              </a:rPr>
              <a:t> (В %)</a:t>
            </a:r>
          </a:p>
          <a:p>
            <a:pPr algn="l">
              <a:defRPr sz="1000">
                <a:latin typeface="+mj-lt"/>
              </a:defRPr>
            </a:pPr>
            <a:r>
              <a:rPr lang="bg-BG" sz="1000">
                <a:latin typeface="+mj-lt"/>
              </a:rPr>
              <a:t>                                                                      </a:t>
            </a:r>
            <a:r>
              <a:rPr lang="en-US" sz="1000">
                <a:latin typeface="+mj-lt"/>
              </a:rPr>
              <a:t>I</a:t>
            </a:r>
            <a:r>
              <a:rPr lang="bg-BG" sz="1000">
                <a:latin typeface="+mj-lt"/>
              </a:rPr>
              <a:t> тримесечие</a:t>
            </a:r>
            <a:r>
              <a:rPr lang="bg-BG" sz="1000" baseline="0">
                <a:latin typeface="+mj-lt"/>
              </a:rPr>
              <a:t> на 2016 г.</a:t>
            </a:r>
            <a:endParaRPr lang="en-GB" sz="1000">
              <a:latin typeface="+mj-lt"/>
            </a:endParaRPr>
          </a:p>
        </c:rich>
      </c:tx>
      <c:layout>
        <c:manualLayout>
          <c:xMode val="edge"/>
          <c:yMode val="edge"/>
          <c:x val="1.7169853768278964E-2"/>
          <c:y val="1.5936254980079681E-2"/>
        </c:manualLayout>
      </c:layout>
      <c:overlay val="0"/>
    </c:title>
    <c:autoTitleDeleted val="0"/>
    <c:plotArea>
      <c:layout>
        <c:manualLayout>
          <c:layoutTarget val="inner"/>
          <c:xMode val="edge"/>
          <c:yMode val="edge"/>
          <c:x val="0.46945822397200349"/>
          <c:y val="0.15770851560221638"/>
          <c:w val="0.53054187375514228"/>
          <c:h val="0.79136555847185763"/>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'2011-01-12 - 2016-03-31'!$D$1:$J$1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'2011-01-12 - 2016-03-31'!$D$2:$J$2</c:f>
              <c:numCache>
                <c:formatCode>General</c:formatCode>
                <c:ptCount val="7"/>
                <c:pt idx="0">
                  <c:v>36</c:v>
                </c:pt>
                <c:pt idx="1">
                  <c:v>23</c:v>
                </c:pt>
                <c:pt idx="2">
                  <c:v>55</c:v>
                </c:pt>
                <c:pt idx="3">
                  <c:v>9</c:v>
                </c:pt>
                <c:pt idx="4">
                  <c:v>5</c:v>
                </c:pt>
                <c:pt idx="5">
                  <c:v>35</c:v>
                </c:pt>
                <c:pt idx="6">
                  <c:v>13</c:v>
                </c:pt>
              </c:numCache>
            </c:numRef>
          </c:val>
        </c:ser>
        <c:dLbls>
          <c:showLegendKey val="0"/>
          <c:showVal val="1"/>
          <c:showCatName val="0"/>
          <c:showSerName val="0"/>
          <c:showPercent val="0"/>
          <c:showBubbleSize val="0"/>
        </c:dLbls>
        <c:gapWidth val="150"/>
        <c:overlap val="-25"/>
        <c:axId val="174792704"/>
        <c:axId val="204264512"/>
      </c:barChart>
      <c:catAx>
        <c:axId val="174792704"/>
        <c:scaling>
          <c:orientation val="minMax"/>
        </c:scaling>
        <c:delete val="0"/>
        <c:axPos val="l"/>
        <c:numFmt formatCode="General" sourceLinked="0"/>
        <c:majorTickMark val="none"/>
        <c:minorTickMark val="none"/>
        <c:tickLblPos val="nextTo"/>
        <c:txPr>
          <a:bodyPr/>
          <a:lstStyle/>
          <a:p>
            <a:pPr>
              <a:defRPr sz="900">
                <a:latin typeface="+mj-lt"/>
              </a:defRPr>
            </a:pPr>
            <a:endParaRPr lang="bg-BG"/>
          </a:p>
        </c:txPr>
        <c:crossAx val="204264512"/>
        <c:crosses val="autoZero"/>
        <c:auto val="1"/>
        <c:lblAlgn val="ctr"/>
        <c:lblOffset val="100"/>
        <c:noMultiLvlLbl val="0"/>
      </c:catAx>
      <c:valAx>
        <c:axId val="204264512"/>
        <c:scaling>
          <c:orientation val="minMax"/>
        </c:scaling>
        <c:delete val="1"/>
        <c:axPos val="b"/>
        <c:numFmt formatCode="General" sourceLinked="1"/>
        <c:majorTickMark val="out"/>
        <c:minorTickMark val="none"/>
        <c:tickLblPos val="nextTo"/>
        <c:crossAx val="174792704"/>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endParaRPr lang="bg-BG" sz="1000" b="1" i="0" baseline="0">
              <a:effectLst/>
              <a:latin typeface="+mj-lt"/>
            </a:endParaRPr>
          </a:p>
          <a:p>
            <a:pPr algn="l">
              <a:defRPr/>
            </a:pPr>
            <a:r>
              <a:rPr lang="en-US" sz="1000" b="1" i="0" baseline="0">
                <a:effectLst/>
                <a:latin typeface="+mj-lt"/>
              </a:rPr>
              <a:t>II</a:t>
            </a:r>
            <a:r>
              <a:rPr lang="bg-BG" sz="1000" b="1" i="0" baseline="0">
                <a:effectLst/>
                <a:latin typeface="+mj-lt"/>
              </a:rPr>
              <a:t> тримесечие на 2016 г.</a:t>
            </a:r>
            <a:endParaRPr lang="bg-BG" sz="1000">
              <a:effectLst/>
              <a:latin typeface="+mj-lt"/>
            </a:endParaRPr>
          </a:p>
        </c:rich>
      </c:tx>
      <c:layout>
        <c:manualLayout>
          <c:xMode val="edge"/>
          <c:yMode val="edge"/>
          <c:x val="0.48406060001993423"/>
          <c:y val="2.8948324779240652E-2"/>
        </c:manualLayout>
      </c:layout>
      <c:overlay val="0"/>
    </c:title>
    <c:autoTitleDeleted val="0"/>
    <c:plotArea>
      <c:layout>
        <c:manualLayout>
          <c:layoutTarget val="inner"/>
          <c:xMode val="edge"/>
          <c:yMode val="edge"/>
          <c:x val="0.46696191457080533"/>
          <c:y val="0.17511470985155195"/>
          <c:w val="0.49365693212399081"/>
          <c:h val="0.82488529014844802"/>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'2011-01-12 - 2016-06-30'!$D$1:$J$1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'2011-01-12 - 2016-06-30'!$D$2:$J$2</c:f>
              <c:numCache>
                <c:formatCode>General</c:formatCode>
                <c:ptCount val="7"/>
              </c:numCache>
            </c:numRef>
          </c:val>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'2011-01-12 - 2016-06-30'!$D$1:$J$1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'2011-01-12 - 2016-06-30'!$D$3:$J$3</c:f>
              <c:numCache>
                <c:formatCode>General</c:formatCode>
                <c:ptCount val="7"/>
              </c:numCache>
            </c:numRef>
          </c:val>
        </c:ser>
        <c:ser>
          <c:idx val="2"/>
          <c:order val="2"/>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'2011-01-12 - 2016-06-30'!$D$1:$J$1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'2011-01-12 - 2016-06-30'!$D$4:$J$4</c:f>
              <c:numCache>
                <c:formatCode>General</c:formatCode>
                <c:ptCount val="7"/>
              </c:numCache>
            </c:numRef>
          </c:val>
        </c:ser>
        <c:ser>
          <c:idx val="3"/>
          <c:order val="3"/>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'2011-01-12 - 2016-06-30'!$D$1:$J$1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'2011-01-12 - 2016-06-30'!$D$5:$J$5</c:f>
              <c:numCache>
                <c:formatCode>General</c:formatCode>
                <c:ptCount val="7"/>
              </c:numCache>
            </c:numRef>
          </c:val>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'2011-01-12 - 2016-06-30'!$D$1:$J$1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'2011-01-12 - 2016-06-30'!$D$6:$J$6</c:f>
              <c:numCache>
                <c:formatCode>General</c:formatCode>
                <c:ptCount val="7"/>
                <c:pt idx="0">
                  <c:v>34</c:v>
                </c:pt>
                <c:pt idx="1">
                  <c:v>41</c:v>
                </c:pt>
                <c:pt idx="2">
                  <c:v>57</c:v>
                </c:pt>
                <c:pt idx="3">
                  <c:v>12</c:v>
                </c:pt>
                <c:pt idx="4">
                  <c:v>18</c:v>
                </c:pt>
                <c:pt idx="5">
                  <c:v>47</c:v>
                </c:pt>
                <c:pt idx="6">
                  <c:v>41</c:v>
                </c:pt>
              </c:numCache>
            </c:numRef>
          </c:val>
        </c:ser>
        <c:dLbls>
          <c:showLegendKey val="0"/>
          <c:showVal val="1"/>
          <c:showCatName val="0"/>
          <c:showSerName val="0"/>
          <c:showPercent val="0"/>
          <c:showBubbleSize val="0"/>
        </c:dLbls>
        <c:gapWidth val="150"/>
        <c:axId val="144878592"/>
        <c:axId val="204266816"/>
      </c:barChart>
      <c:catAx>
        <c:axId val="144878592"/>
        <c:scaling>
          <c:orientation val="minMax"/>
        </c:scaling>
        <c:delete val="0"/>
        <c:axPos val="l"/>
        <c:numFmt formatCode="General" sourceLinked="0"/>
        <c:majorTickMark val="none"/>
        <c:minorTickMark val="none"/>
        <c:tickLblPos val="nextTo"/>
        <c:txPr>
          <a:bodyPr/>
          <a:lstStyle/>
          <a:p>
            <a:pPr>
              <a:defRPr sz="900">
                <a:latin typeface="+mj-lt"/>
              </a:defRPr>
            </a:pPr>
            <a:endParaRPr lang="bg-BG"/>
          </a:p>
        </c:txPr>
        <c:crossAx val="204266816"/>
        <c:crosses val="autoZero"/>
        <c:auto val="1"/>
        <c:lblAlgn val="ctr"/>
        <c:lblOffset val="100"/>
        <c:noMultiLvlLbl val="0"/>
      </c:catAx>
      <c:valAx>
        <c:axId val="204266816"/>
        <c:scaling>
          <c:orientation val="minMax"/>
        </c:scaling>
        <c:delete val="1"/>
        <c:axPos val="b"/>
        <c:numFmt formatCode="General" sourceLinked="1"/>
        <c:majorTickMark val="out"/>
        <c:minorTickMark val="none"/>
        <c:tickLblPos val="nextTo"/>
        <c:crossAx val="144878592"/>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bg-BG" sz="1000">
                <a:latin typeface="+mj-lt"/>
              </a:rPr>
              <a:t>ОСЪДЕНИТЕ МОЛИТЕЛИ ПО СЕМЕЙНО ПОЛОЖЕНИЕ</a:t>
            </a:r>
            <a:endParaRPr lang="en-GB" sz="1000">
              <a:latin typeface="+mj-lt"/>
            </a:endParaRPr>
          </a:p>
        </c:rich>
      </c:tx>
      <c:layout>
        <c:manualLayout>
          <c:xMode val="edge"/>
          <c:yMode val="edge"/>
          <c:x val="9.2472047551433653E-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10613407699037618"/>
          <c:w val="1"/>
          <c:h val="0.87082361540250508"/>
        </c:manualLayout>
      </c:layout>
      <c:pie3DChart>
        <c:varyColors val="1"/>
        <c:ser>
          <c:idx val="0"/>
          <c:order val="0"/>
          <c:explosion val="25"/>
          <c:dLbls>
            <c:dLbl>
              <c:idx val="0"/>
              <c:tx>
                <c:rich>
                  <a:bodyPr/>
                  <a:lstStyle/>
                  <a:p>
                    <a:pPr>
                      <a:defRPr sz="900">
                        <a:solidFill>
                          <a:schemeClr val="bg1"/>
                        </a:solidFill>
                        <a:latin typeface="+mj-lt"/>
                      </a:defRPr>
                    </a:pPr>
                    <a:r>
                      <a:rPr lang="bg-BG"/>
                      <a:t>несемеен</a:t>
                    </a:r>
                    <a:r>
                      <a:rPr lang="bg-BG" baseline="0"/>
                      <a:t>
35%</a:t>
                    </a:r>
                  </a:p>
                </c:rich>
              </c:tx>
              <c:spPr/>
              <c:showLegendKey val="0"/>
              <c:showVal val="0"/>
              <c:showCatName val="1"/>
              <c:showSerName val="0"/>
              <c:showPercent val="1"/>
              <c:showBubbleSize val="0"/>
              <c:extLst>
                <c:ext xmlns:c15="http://schemas.microsoft.com/office/drawing/2012/chart" uri="{CE6537A1-D6FC-4f65-9D91-7224C49458BB}"/>
              </c:extLst>
            </c:dLbl>
            <c:dLbl>
              <c:idx val="1"/>
              <c:layout>
                <c:manualLayout>
                  <c:x val="0.24354521258613165"/>
                  <c:y val="-0.21251504211793021"/>
                </c:manualLayout>
              </c:layout>
              <c:tx>
                <c:rich>
                  <a:bodyPr/>
                  <a:lstStyle/>
                  <a:p>
                    <a:pPr>
                      <a:defRPr sz="900">
                        <a:solidFill>
                          <a:schemeClr val="bg1"/>
                        </a:solidFill>
                        <a:latin typeface="+mj-lt"/>
                      </a:defRPr>
                    </a:pPr>
                    <a:r>
                      <a:rPr lang="bg-BG"/>
                      <a:t>семеен</a:t>
                    </a:r>
                    <a:r>
                      <a:rPr lang="bg-BG" baseline="0"/>
                      <a:t>
48%</a:t>
                    </a:r>
                  </a:p>
                </c:rich>
              </c:tx>
              <c:spPr/>
              <c:showLegendKey val="0"/>
              <c:showVal val="0"/>
              <c:showCatName val="1"/>
              <c:showSerName val="0"/>
              <c:showPercent val="1"/>
              <c:showBubbleSize val="0"/>
              <c:extLst>
                <c:ext xmlns:c15="http://schemas.microsoft.com/office/drawing/2012/chart" uri="{CE6537A1-D6FC-4f65-9D91-7224C49458BB}"/>
              </c:extLst>
            </c:dLbl>
            <c:dLbl>
              <c:idx val="3"/>
              <c:layout>
                <c:manualLayout>
                  <c:x val="0.16221719160104983"/>
                  <c:y val="0.13238043161271507"/>
                </c:manualLayout>
              </c:layout>
              <c:tx>
                <c:rich>
                  <a:bodyPr/>
                  <a:lstStyle/>
                  <a:p>
                    <a:r>
                      <a:rPr lang="bg-BG"/>
                      <a:t>разведен / разделен</a:t>
                    </a:r>
                    <a:r>
                      <a:rPr lang="bg-BG" baseline="0"/>
                      <a:t>
15%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a:latin typeface="+mj-lt"/>
                  </a:defRPr>
                </a:pPr>
                <a:endParaRPr lang="bg-BG"/>
              </a:p>
            </c:txPr>
            <c:showLegendKey val="0"/>
            <c:showVal val="0"/>
            <c:showCatName val="1"/>
            <c:showSerName val="0"/>
            <c:showPercent val="1"/>
            <c:showBubbleSize val="0"/>
            <c:showLeaderLines val="1"/>
            <c:extLst>
              <c:ext xmlns:c15="http://schemas.microsoft.com/office/drawing/2012/chart" uri="{CE6537A1-D6FC-4f65-9D91-7224C49458BB}"/>
            </c:extLst>
          </c:dLbls>
          <c:cat>
            <c:strRef>
              <c:f>'2011-01-12 - 2016-03-31'!$D$1:$G$1</c:f>
              <c:strCache>
                <c:ptCount val="4"/>
                <c:pt idx="0">
                  <c:v>Несемеен</c:v>
                </c:pt>
                <c:pt idx="1">
                  <c:v>Семеен (вкл. фактическо съжителство)</c:v>
                </c:pt>
                <c:pt idx="2">
                  <c:v>Вдовец / Вдовица</c:v>
                </c:pt>
                <c:pt idx="3">
                  <c:v>Разведен / Разделен</c:v>
                </c:pt>
              </c:strCache>
            </c:strRef>
          </c:cat>
          <c:val>
            <c:numRef>
              <c:f>'2011-01-12 - 2016-03-31'!$D$2:$G$2</c:f>
              <c:numCache>
                <c:formatCode>General</c:formatCode>
                <c:ptCount val="4"/>
                <c:pt idx="0">
                  <c:v>43</c:v>
                </c:pt>
                <c:pt idx="1">
                  <c:v>34</c:v>
                </c:pt>
                <c:pt idx="2">
                  <c:v>3</c:v>
                </c:pt>
                <c:pt idx="3">
                  <c:v>20</c:v>
                </c:pt>
              </c:numCache>
            </c:numRef>
          </c:val>
        </c:ser>
        <c:dLbls>
          <c:showLegendKey val="0"/>
          <c:showVal val="0"/>
          <c:showCatName val="1"/>
          <c:showSerName val="0"/>
          <c:showPercent val="1"/>
          <c:showBubbleSize val="0"/>
          <c:showLeaderLines val="1"/>
        </c:dLbls>
      </c:pie3DChart>
      <c:spPr>
        <a:ln>
          <a:solidFill>
            <a:schemeClr val="bg1"/>
          </a:solidFill>
        </a:ln>
      </c:spPr>
    </c:plotArea>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100" b="1">
                <a:latin typeface="+mj-lt"/>
              </a:rPr>
              <a:t>МОЛИТЕЛИТЕ ПО ПРИЗНАКА ,,РОДИТЕЛ</a:t>
            </a:r>
            <a:r>
              <a:rPr lang="bg-BG" sz="1100">
                <a:latin typeface="+mj-lt"/>
              </a:rPr>
              <a:t>"</a:t>
            </a:r>
          </a:p>
        </c:rich>
      </c:tx>
      <c:layout>
        <c:manualLayout>
          <c:xMode val="edge"/>
          <c:yMode val="edge"/>
          <c:x val="2.7422476967712498E-3"/>
          <c:y val="4.3652237177155329E-2"/>
        </c:manualLayout>
      </c:layout>
      <c:overlay val="0"/>
      <c:spPr>
        <a:noFill/>
        <a:ln>
          <a:noFill/>
        </a:ln>
        <a:effectLst/>
      </c:spPr>
    </c:title>
    <c:autoTitleDeleted val="0"/>
    <c:plotArea>
      <c:layout>
        <c:manualLayout>
          <c:layoutTarget val="inner"/>
          <c:xMode val="edge"/>
          <c:yMode val="edge"/>
          <c:x val="0"/>
          <c:y val="4.3594916455432037E-2"/>
          <c:w val="0.98611127807497345"/>
          <c:h val="0.77252877211441895"/>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'2012-01-12 - 2016-06-30'!$D$1:$G$1</c:f>
              <c:strCache>
                <c:ptCount val="4"/>
                <c:pt idx="0">
                  <c:v>Без деца</c:v>
                </c:pt>
                <c:pt idx="1">
                  <c:v>С пълнолетни деца</c:v>
                </c:pt>
                <c:pt idx="2">
                  <c:v>С малолетни деца</c:v>
                </c:pt>
                <c:pt idx="3">
                  <c:v>С непълнолетни деца</c:v>
                </c:pt>
              </c:strCache>
            </c:strRef>
          </c:cat>
          <c:val>
            <c:numRef>
              <c:f>'2012-01-12 - 2016-06-30'!$D$2:$G$2</c:f>
              <c:numCache>
                <c:formatCode>General</c:formatCode>
                <c:ptCount val="4"/>
                <c:pt idx="0">
                  <c:v>9</c:v>
                </c:pt>
                <c:pt idx="1">
                  <c:v>13</c:v>
                </c:pt>
                <c:pt idx="2">
                  <c:v>24</c:v>
                </c:pt>
                <c:pt idx="3">
                  <c:v>14</c:v>
                </c:pt>
              </c:numCache>
            </c:numRef>
          </c:val>
        </c:ser>
        <c:dLbls>
          <c:dLblPos val="inEnd"/>
          <c:showLegendKey val="0"/>
          <c:showVal val="1"/>
          <c:showCatName val="0"/>
          <c:showSerName val="0"/>
          <c:showPercent val="0"/>
          <c:showBubbleSize val="0"/>
        </c:dLbls>
        <c:gapWidth val="41"/>
        <c:axId val="144876032"/>
        <c:axId val="175456256"/>
      </c:barChart>
      <c:catAx>
        <c:axId val="144876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j-lt"/>
                <a:ea typeface="+mn-ea"/>
                <a:cs typeface="+mn-cs"/>
              </a:defRPr>
            </a:pPr>
            <a:endParaRPr lang="bg-BG"/>
          </a:p>
        </c:txPr>
        <c:crossAx val="175456256"/>
        <c:crosses val="autoZero"/>
        <c:auto val="1"/>
        <c:lblAlgn val="ctr"/>
        <c:lblOffset val="100"/>
        <c:noMultiLvlLbl val="0"/>
      </c:catAx>
      <c:valAx>
        <c:axId val="175456256"/>
        <c:scaling>
          <c:orientation val="minMax"/>
        </c:scaling>
        <c:delete val="1"/>
        <c:axPos val="l"/>
        <c:numFmt formatCode="General" sourceLinked="1"/>
        <c:majorTickMark val="none"/>
        <c:minorTickMark val="none"/>
        <c:tickLblPos val="nextTo"/>
        <c:crossAx val="14487603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bg1"/>
      </a:solidFill>
      <a:round/>
    </a:ln>
    <a:effectLst/>
  </c:spPr>
  <c:txPr>
    <a:bodyPr/>
    <a:lstStyle/>
    <a:p>
      <a:pPr>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9444444444444441E-3"/>
          <c:y val="0.201571633620553"/>
          <c:w val="0.83349563188659404"/>
          <c:h val="0.79707588305343369"/>
        </c:manualLayout>
      </c:layout>
      <c:pie3DChart>
        <c:varyColors val="1"/>
        <c:ser>
          <c:idx val="0"/>
          <c:order val="0"/>
          <c:explosion val="25"/>
          <c:dLbls>
            <c:dLbl>
              <c:idx val="0"/>
              <c:layout>
                <c:manualLayout>
                  <c:x val="0.11728453586158873"/>
                  <c:y val="4.1243551452619948E-3"/>
                </c:manualLayout>
              </c:layout>
              <c:tx>
                <c:rich>
                  <a:bodyPr/>
                  <a:lstStyle/>
                  <a:p>
                    <a:r>
                      <a:rPr lang="bg-BG"/>
                      <a:t>без образование</a:t>
                    </a:r>
                    <a:r>
                      <a:rPr lang="bg-BG" baseline="0"/>
                      <a:t>; 12%</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16783530158879997"/>
                  <c:y val="7.862106745261023E-2"/>
                </c:manualLayout>
              </c:layout>
              <c:tx>
                <c:rich>
                  <a:bodyPr/>
                  <a:lstStyle/>
                  <a:p>
                    <a:pPr>
                      <a:defRPr>
                        <a:solidFill>
                          <a:schemeClr val="bg1"/>
                        </a:solidFill>
                        <a:latin typeface="+mj-lt"/>
                      </a:defRPr>
                    </a:pPr>
                    <a:r>
                      <a:rPr lang="bg-BG">
                        <a:solidFill>
                          <a:schemeClr val="bg1"/>
                        </a:solidFill>
                      </a:rPr>
                      <a:t>начално</a:t>
                    </a:r>
                    <a:r>
                      <a:rPr lang="bg-BG" baseline="0">
                        <a:solidFill>
                          <a:schemeClr val="bg1"/>
                        </a:solidFill>
                      </a:rPr>
                      <a:t>; 15%</a:t>
                    </a:r>
                  </a:p>
                </c:rich>
              </c:tx>
              <c:spPr>
                <a:noFill/>
                <a:ln>
                  <a:noFill/>
                </a:ln>
                <a:effectLst/>
              </c:spPr>
              <c:showLegendKey val="0"/>
              <c:showVal val="1"/>
              <c:showCatName val="1"/>
              <c:showSerName val="0"/>
              <c:showPercent val="0"/>
              <c:showBubbleSize val="0"/>
              <c:extLst>
                <c:ext xmlns:c15="http://schemas.microsoft.com/office/drawing/2012/chart" uri="{CE6537A1-D6FC-4f65-9D91-7224C49458BB}"/>
              </c:extLst>
            </c:dLbl>
            <c:dLbl>
              <c:idx val="2"/>
              <c:tx>
                <c:rich>
                  <a:bodyPr/>
                  <a:lstStyle/>
                  <a:p>
                    <a:r>
                      <a:rPr lang="bg-BG"/>
                      <a:t>Средно</a:t>
                    </a:r>
                    <a:r>
                      <a:rPr lang="bg-BG" baseline="0"/>
                      <a:t>; 38%</a:t>
                    </a:r>
                    <a:endParaRPr lang="bg-BG"/>
                  </a:p>
                </c:rich>
              </c:tx>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bg-BG"/>
                      <a:t>Основно</a:t>
                    </a:r>
                    <a:r>
                      <a:rPr lang="bg-BG" baseline="0"/>
                      <a:t>; 28%</a:t>
                    </a:r>
                    <a:endParaRPr lang="bg-BG"/>
                  </a:p>
                </c:rich>
              </c:tx>
              <c:showLegendKey val="0"/>
              <c:showVal val="1"/>
              <c:showCatName val="1"/>
              <c:showSerName val="0"/>
              <c:showPercent val="0"/>
              <c:showBubbleSize val="0"/>
              <c:extLst>
                <c:ext xmlns:c15="http://schemas.microsoft.com/office/drawing/2012/chart" uri="{CE6537A1-D6FC-4f65-9D91-7224C49458BB}"/>
              </c:extLst>
            </c:dLbl>
            <c:dLbl>
              <c:idx val="4"/>
              <c:tx>
                <c:rich>
                  <a:bodyPr/>
                  <a:lstStyle/>
                  <a:p>
                    <a:r>
                      <a:rPr lang="bg-BG"/>
                      <a:t>висше</a:t>
                    </a:r>
                    <a:r>
                      <a:rPr lang="bg-BG" baseline="0"/>
                      <a:t>; 7%</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a:solidFill>
                      <a:sysClr val="windowText" lastClr="000000"/>
                    </a:solidFill>
                    <a:latin typeface="+mj-lt"/>
                  </a:defRPr>
                </a:pPr>
                <a:endParaRPr lang="bg-BG"/>
              </a:p>
            </c:txPr>
            <c:showLegendKey val="0"/>
            <c:showVal val="1"/>
            <c:showCatName val="1"/>
            <c:showSerName val="0"/>
            <c:showPercent val="0"/>
            <c:showBubbleSize val="0"/>
            <c:showLeaderLines val="1"/>
            <c:extLst>
              <c:ext xmlns:c15="http://schemas.microsoft.com/office/drawing/2012/chart" uri="{CE6537A1-D6FC-4f65-9D91-7224C49458BB}"/>
            </c:extLst>
          </c:dLbls>
          <c:cat>
            <c:strRef>
              <c:f>'2012-01-01 - 2016-03-31'!$D$1:$H$1</c:f>
              <c:strCache>
                <c:ptCount val="5"/>
                <c:pt idx="0">
                  <c:v>Без образование</c:v>
                </c:pt>
                <c:pt idx="1">
                  <c:v>Начално</c:v>
                </c:pt>
                <c:pt idx="2">
                  <c:v>Основно</c:v>
                </c:pt>
                <c:pt idx="3">
                  <c:v>Средно</c:v>
                </c:pt>
                <c:pt idx="4">
                  <c:v>Висше</c:v>
                </c:pt>
              </c:strCache>
            </c:strRef>
          </c:cat>
          <c:val>
            <c:numRef>
              <c:f>'2012-01-01 - 2016-03-31'!$D$2:$H$2</c:f>
              <c:numCache>
                <c:formatCode>0%</c:formatCode>
                <c:ptCount val="5"/>
                <c:pt idx="0">
                  <c:v>0.11</c:v>
                </c:pt>
                <c:pt idx="1">
                  <c:v>0.14000000000000001</c:v>
                </c:pt>
                <c:pt idx="2">
                  <c:v>0.36</c:v>
                </c:pt>
                <c:pt idx="3">
                  <c:v>0.33</c:v>
                </c:pt>
                <c:pt idx="4">
                  <c:v>0.05</c:v>
                </c:pt>
              </c:numCache>
            </c:numRef>
          </c:val>
        </c:ser>
        <c:dLbls>
          <c:showLegendKey val="0"/>
          <c:showVal val="1"/>
          <c:showCatName val="1"/>
          <c:showSerName val="0"/>
          <c:showPercent val="0"/>
          <c:showBubbleSize val="0"/>
          <c:showLeaderLines val="1"/>
        </c:dLbls>
      </c:pie3DChart>
    </c:plotArea>
    <c:plotVisOnly val="1"/>
    <c:dispBlanksAs val="gap"/>
    <c:showDLblsOverMax val="0"/>
  </c:chart>
  <c:spPr>
    <a:ln>
      <a:solidFill>
        <a:schemeClr val="bg1"/>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b="0" i="0" u="none" strike="noStrike" kern="1200" baseline="0">
                <a:solidFill>
                  <a:schemeClr val="dk1">
                    <a:lumMod val="65000"/>
                    <a:lumOff val="35000"/>
                  </a:schemeClr>
                </a:solidFill>
                <a:effectLst/>
                <a:latin typeface="+mn-lt"/>
                <a:ea typeface="+mn-ea"/>
                <a:cs typeface="+mn-cs"/>
              </a:defRPr>
            </a:pPr>
            <a:r>
              <a:rPr lang="bg-BG" sz="1100" b="1">
                <a:latin typeface="+mj-lt"/>
              </a:rPr>
              <a:t>МОЛИТЕЛИТЕ</a:t>
            </a:r>
            <a:r>
              <a:rPr lang="bg-BG" sz="1100" b="1" baseline="0">
                <a:latin typeface="+mj-lt"/>
              </a:rPr>
              <a:t> СПОРЕД НИВАТА НА РИСКА ОТ РЕЦИДИВ</a:t>
            </a:r>
            <a:endParaRPr lang="en-GB" sz="1100" b="1">
              <a:latin typeface="+mj-lt"/>
            </a:endParaRPr>
          </a:p>
        </c:rich>
      </c:tx>
      <c:layout>
        <c:manualLayout>
          <c:xMode val="edge"/>
          <c:yMode val="edge"/>
          <c:x val="4.9949605816540987E-4"/>
          <c:y val="4.1782729805013928E-2"/>
        </c:manualLayout>
      </c:layout>
      <c:overlay val="0"/>
      <c:spPr>
        <a:noFill/>
        <a:ln>
          <a:noFill/>
        </a:ln>
        <a:effectLst/>
      </c:spPr>
    </c:title>
    <c:autoTitleDeleted val="0"/>
    <c:plotArea>
      <c:layout>
        <c:manualLayout>
          <c:layoutTarget val="inner"/>
          <c:xMode val="edge"/>
          <c:yMode val="edge"/>
          <c:x val="3.3211557622052474E-3"/>
          <c:y val="0.22137883008356543"/>
          <c:w val="0.99667884423779474"/>
          <c:h val="0.6201949860724234"/>
        </c:manualLayout>
      </c:layout>
      <c:barChart>
        <c:barDir val="col"/>
        <c:grouping val="clustered"/>
        <c:varyColors val="0"/>
        <c:ser>
          <c:idx val="4"/>
          <c:order val="0"/>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'2012-01-12 - 2016-06-30'!$D$1:$F$1</c:f>
              <c:strCache>
                <c:ptCount val="3"/>
                <c:pt idx="0">
                  <c:v>Нисък</c:v>
                </c:pt>
                <c:pt idx="1">
                  <c:v>Среден</c:v>
                </c:pt>
                <c:pt idx="2">
                  <c:v>Висок</c:v>
                </c:pt>
              </c:strCache>
            </c:strRef>
          </c:cat>
          <c:val>
            <c:numRef>
              <c:f>'2012-01-12 - 2016-06-30'!$D$6:$F$6</c:f>
              <c:numCache>
                <c:formatCode>General</c:formatCode>
                <c:ptCount val="3"/>
                <c:pt idx="0">
                  <c:v>23</c:v>
                </c:pt>
                <c:pt idx="1">
                  <c:v>32</c:v>
                </c:pt>
                <c:pt idx="2">
                  <c:v>12</c:v>
                </c:pt>
              </c:numCache>
            </c:numRef>
          </c:val>
        </c:ser>
        <c:dLbls>
          <c:dLblPos val="inEnd"/>
          <c:showLegendKey val="0"/>
          <c:showVal val="1"/>
          <c:showCatName val="0"/>
          <c:showSerName val="0"/>
          <c:showPercent val="0"/>
          <c:showBubbleSize val="0"/>
        </c:dLbls>
        <c:gapWidth val="41"/>
        <c:axId val="144876544"/>
        <c:axId val="175459136"/>
        <c:extLst>
          <c:ext xmlns:c15="http://schemas.microsoft.com/office/drawing/2012/chart" uri="{02D57815-91ED-43cb-92C2-25804820EDAC}">
            <c15:filteredBarSeries>
              <c15: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'2012-01-12 - 2016-06-30'!$D$1:$F$1</c15:sqref>
                        </c15:formulaRef>
                      </c:ext>
                    </c:extLst>
                    <c:strCache>
                      <c:ptCount val="3"/>
                      <c:pt idx="0">
                        <c:v>Нисък</c:v>
                      </c:pt>
                      <c:pt idx="1">
                        <c:v>Среден</c:v>
                      </c:pt>
                      <c:pt idx="2">
                        <c:v>Висок</c:v>
                      </c:pt>
                    </c:strCache>
                  </c:strRef>
                </c:cat>
                <c:val>
                  <c:numRef>
                    <c:extLst>
                      <c:ext uri="{02D57815-91ED-43cb-92C2-25804820EDAC}">
                        <c15:formulaRef>
                          <c15:sqref>'2012-01-12 - 2016-06-30'!$D$2:$F$2</c15:sqref>
                        </c15:formulaRef>
                      </c:ext>
                    </c:extLst>
                    <c:numCache>
                      <c:formatCode>General</c:formatCode>
                      <c:ptCount val="3"/>
                    </c:numCache>
                  </c:numRef>
                </c:val>
              </c15:ser>
            </c15:filteredBarSeries>
            <c15:filteredBarSeries>
              <c15:ser>
                <c:idx val="1"/>
                <c:order val="1"/>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'2012-01-12 - 2016-06-30'!$D$1:$F$1</c15:sqref>
                        </c15:formulaRef>
                      </c:ext>
                    </c:extLst>
                    <c:strCache>
                      <c:ptCount val="3"/>
                      <c:pt idx="0">
                        <c:v>Нисък</c:v>
                      </c:pt>
                      <c:pt idx="1">
                        <c:v>Среден</c:v>
                      </c:pt>
                      <c:pt idx="2">
                        <c:v>Висок</c:v>
                      </c:pt>
                    </c:strCache>
                  </c:strRef>
                </c:cat>
                <c:val>
                  <c:numRef>
                    <c:extLst xmlns:c15="http://schemas.microsoft.com/office/drawing/2012/chart">
                      <c:ext xmlns:c15="http://schemas.microsoft.com/office/drawing/2012/chart" uri="{02D57815-91ED-43cb-92C2-25804820EDAC}">
                        <c15:formulaRef>
                          <c15:sqref>'2012-01-12 - 2016-06-30'!$D$3:$F$3</c15:sqref>
                        </c15:formulaRef>
                      </c:ext>
                    </c:extLst>
                    <c:numCache>
                      <c:formatCode>General</c:formatCode>
                      <c:ptCount val="3"/>
                    </c:numCache>
                  </c:numRef>
                </c:val>
              </c15:ser>
            </c15:filteredBarSeries>
            <c15:filteredBarSeries>
              <c15:ser>
                <c:idx val="2"/>
                <c:order val="2"/>
                <c:spPr>
                  <a:gradFill>
                    <a:gsLst>
                      <a:gs pos="0">
                        <a:schemeClr val="accent3"/>
                      </a:gs>
                      <a:gs pos="100000">
                        <a:schemeClr val="accent3">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'2012-01-12 - 2016-06-30'!$D$1:$F$1</c15:sqref>
                        </c15:formulaRef>
                      </c:ext>
                    </c:extLst>
                    <c:strCache>
                      <c:ptCount val="3"/>
                      <c:pt idx="0">
                        <c:v>Нисък</c:v>
                      </c:pt>
                      <c:pt idx="1">
                        <c:v>Среден</c:v>
                      </c:pt>
                      <c:pt idx="2">
                        <c:v>Висок</c:v>
                      </c:pt>
                    </c:strCache>
                  </c:strRef>
                </c:cat>
                <c:val>
                  <c:numRef>
                    <c:extLst xmlns:c15="http://schemas.microsoft.com/office/drawing/2012/chart">
                      <c:ext xmlns:c15="http://schemas.microsoft.com/office/drawing/2012/chart" uri="{02D57815-91ED-43cb-92C2-25804820EDAC}">
                        <c15:formulaRef>
                          <c15:sqref>'2012-01-12 - 2016-06-30'!$D$4:$F$4</c15:sqref>
                        </c15:formulaRef>
                      </c:ext>
                    </c:extLst>
                    <c:numCache>
                      <c:formatCode>General</c:formatCode>
                      <c:ptCount val="3"/>
                    </c:numCache>
                  </c:numRef>
                </c:val>
              </c15:ser>
            </c15:filteredBarSeries>
            <c15:filteredBarSeries>
              <c15:ser>
                <c:idx val="3"/>
                <c:order val="3"/>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'2012-01-12 - 2016-06-30'!$D$1:$F$1</c15:sqref>
                        </c15:formulaRef>
                      </c:ext>
                    </c:extLst>
                    <c:strCache>
                      <c:ptCount val="3"/>
                      <c:pt idx="0">
                        <c:v>Нисък</c:v>
                      </c:pt>
                      <c:pt idx="1">
                        <c:v>Среден</c:v>
                      </c:pt>
                      <c:pt idx="2">
                        <c:v>Висок</c:v>
                      </c:pt>
                    </c:strCache>
                  </c:strRef>
                </c:cat>
                <c:val>
                  <c:numRef>
                    <c:extLst xmlns:c15="http://schemas.microsoft.com/office/drawing/2012/chart">
                      <c:ext xmlns:c15="http://schemas.microsoft.com/office/drawing/2012/chart" uri="{02D57815-91ED-43cb-92C2-25804820EDAC}">
                        <c15:formulaRef>
                          <c15:sqref>'2012-01-12 - 2016-06-30'!$D$5:$F$5</c15:sqref>
                        </c15:formulaRef>
                      </c:ext>
                    </c:extLst>
                    <c:numCache>
                      <c:formatCode>General</c:formatCode>
                      <c:ptCount val="3"/>
                    </c:numCache>
                  </c:numRef>
                </c:val>
              </c15:ser>
            </c15:filteredBarSeries>
          </c:ext>
        </c:extLst>
      </c:barChart>
      <c:catAx>
        <c:axId val="144876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j-lt"/>
                <a:ea typeface="+mn-ea"/>
                <a:cs typeface="+mn-cs"/>
              </a:defRPr>
            </a:pPr>
            <a:endParaRPr lang="bg-BG"/>
          </a:p>
        </c:txPr>
        <c:crossAx val="175459136"/>
        <c:crosses val="autoZero"/>
        <c:auto val="1"/>
        <c:lblAlgn val="ctr"/>
        <c:lblOffset val="100"/>
        <c:noMultiLvlLbl val="0"/>
      </c:catAx>
      <c:valAx>
        <c:axId val="175459136"/>
        <c:scaling>
          <c:orientation val="minMax"/>
        </c:scaling>
        <c:delete val="1"/>
        <c:axPos val="l"/>
        <c:numFmt formatCode="General" sourceLinked="1"/>
        <c:majorTickMark val="none"/>
        <c:minorTickMark val="none"/>
        <c:tickLblPos val="nextTo"/>
        <c:crossAx val="14487654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bg1"/>
      </a:solidFill>
      <a:round/>
    </a:ln>
    <a:effectLst/>
  </c:spPr>
  <c:txPr>
    <a:bodyPr/>
    <a:lstStyle/>
    <a:p>
      <a:pPr>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bg-BG" sz="1000" b="1" i="0" baseline="0">
                <a:effectLst/>
                <a:latin typeface="+mj-lt"/>
              </a:rPr>
              <a:t>ПРОФИЛ НА ОСЪДЕНИТЕ МОЛИТЕЛИ ПО ДЕФИЦИТНИ ЗОНИ НА РЕЦИДИВНИЯ РИСК</a:t>
            </a:r>
            <a:endParaRPr lang="bg-BG" sz="1000">
              <a:effectLst/>
              <a:latin typeface="+mj-lt"/>
            </a:endParaRPr>
          </a:p>
        </c:rich>
      </c:tx>
      <c:overlay val="0"/>
      <c:spPr>
        <a:noFill/>
        <a:ln>
          <a:noFill/>
        </a:ln>
        <a:effectLst/>
      </c:spPr>
    </c:title>
    <c:autoTitleDeleted val="0"/>
    <c:plotArea>
      <c:layout>
        <c:manualLayout>
          <c:layoutTarget val="inner"/>
          <c:xMode val="edge"/>
          <c:yMode val="edge"/>
          <c:x val="0.40127879642689235"/>
          <c:y val="0.14685185185185184"/>
          <c:w val="0.48588622472966619"/>
          <c:h val="0.80222222222222217"/>
        </c:manualLayout>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2"/>
              </a:solidFill>
              <a:ln>
                <a:noFill/>
              </a:ln>
              <a:effectLst/>
            </c:spPr>
          </c:dPt>
          <c:dPt>
            <c:idx val="2"/>
            <c:invertIfNegative val="0"/>
            <c:bubble3D val="0"/>
            <c:spPr>
              <a:solidFill>
                <a:schemeClr val="accent2"/>
              </a:solidFill>
              <a:ln>
                <a:noFill/>
              </a:ln>
              <a:effectLst/>
            </c:spPr>
          </c:dPt>
          <c:dPt>
            <c:idx val="3"/>
            <c:invertIfNegative val="0"/>
            <c:bubble3D val="0"/>
            <c:spPr>
              <a:solidFill>
                <a:schemeClr val="accent2"/>
              </a:solidFill>
              <a:ln>
                <a:noFill/>
              </a:ln>
              <a:effectLst/>
            </c:spPr>
          </c:dPt>
          <c:dPt>
            <c:idx val="4"/>
            <c:invertIfNegative val="0"/>
            <c:bubble3D val="0"/>
            <c:spPr>
              <a:solidFill>
                <a:schemeClr val="accent2"/>
              </a:solidFill>
              <a:ln>
                <a:noFill/>
              </a:ln>
              <a:effectLst/>
            </c:spPr>
          </c:dPt>
          <c:dPt>
            <c:idx val="5"/>
            <c:invertIfNegative val="0"/>
            <c:bubble3D val="0"/>
            <c:spPr>
              <a:solidFill>
                <a:schemeClr val="accent2"/>
              </a:solidFill>
              <a:ln>
                <a:noFill/>
              </a:ln>
              <a:effectLst/>
            </c:spPr>
          </c:dPt>
          <c:dPt>
            <c:idx val="8"/>
            <c:invertIfNegative val="0"/>
            <c:bubble3D val="0"/>
            <c:spPr>
              <a:solidFill>
                <a:schemeClr val="accent2"/>
              </a:solidFill>
              <a:ln>
                <a:noFill/>
              </a:ln>
              <a:effectLst/>
            </c:spPr>
          </c:dPt>
          <c:dPt>
            <c:idx val="9"/>
            <c:invertIfNegative val="0"/>
            <c:bubble3D val="0"/>
            <c:spPr>
              <a:solidFill>
                <a:schemeClr val="accent2"/>
              </a:solidFill>
              <a:ln>
                <a:noFill/>
              </a:ln>
              <a:effectLst/>
            </c:spPr>
          </c:dPt>
          <c:dPt>
            <c:idx val="11"/>
            <c:invertIfNegative val="0"/>
            <c:bubble3D val="0"/>
            <c:spPr>
              <a:solidFill>
                <a:schemeClr val="accent2"/>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'2012-01-12 - 2016-06-30'!$D$1:$Q$1</c:f>
              <c:strCache>
                <c:ptCount val="14"/>
                <c:pt idx="0">
                  <c:v>Начин и умения за мислене. Нагласи</c:v>
                </c:pt>
                <c:pt idx="1">
                  <c:v>Междуличностно поведение, умения за общуване</c:v>
                </c:pt>
                <c:pt idx="2">
                  <c:v>Емоционални/Психологически фактори</c:v>
                </c:pt>
                <c:pt idx="3">
                  <c:v>Злоупотреба с наркотици</c:v>
                </c:pt>
                <c:pt idx="4">
                  <c:v>юЗлоупотреба с алкохол</c:v>
                </c:pt>
                <c:pt idx="5">
                  <c:v>Начин на живот и обкръжение</c:v>
                </c:pt>
                <c:pt idx="6">
                  <c:v>Управление на финаси и доходи</c:v>
                </c:pt>
                <c:pt idx="7">
                  <c:v>Годност за работа</c:v>
                </c:pt>
                <c:pt idx="8">
                  <c:v>Обучение и образование</c:v>
                </c:pt>
                <c:pt idx="9">
                  <c:v>Взаимоотношения (Семейни/Брачни)</c:v>
                </c:pt>
                <c:pt idx="10">
                  <c:v>Жилищно устройване</c:v>
                </c:pt>
                <c:pt idx="11">
                  <c:v>Отношение към правонарушението</c:v>
                </c:pt>
                <c:pt idx="12">
                  <c:v>Криминално минало</c:v>
                </c:pt>
                <c:pt idx="13">
                  <c:v>Настоящо правонарушение</c:v>
                </c:pt>
              </c:strCache>
            </c:strRef>
          </c:cat>
          <c:val>
            <c:numRef>
              <c:f>'2012-01-12 - 2016-06-30'!$D$2:$Q$2</c:f>
              <c:numCache>
                <c:formatCode>General</c:formatCode>
                <c:ptCount val="14"/>
                <c:pt idx="0">
                  <c:v>66</c:v>
                </c:pt>
                <c:pt idx="1">
                  <c:v>16</c:v>
                </c:pt>
                <c:pt idx="2">
                  <c:v>9</c:v>
                </c:pt>
                <c:pt idx="3">
                  <c:v>1</c:v>
                </c:pt>
                <c:pt idx="4">
                  <c:v>10</c:v>
                </c:pt>
                <c:pt idx="5">
                  <c:v>34</c:v>
                </c:pt>
                <c:pt idx="6">
                  <c:v>18</c:v>
                </c:pt>
                <c:pt idx="7">
                  <c:v>9</c:v>
                </c:pt>
                <c:pt idx="8">
                  <c:v>16</c:v>
                </c:pt>
                <c:pt idx="9">
                  <c:v>9</c:v>
                </c:pt>
                <c:pt idx="10">
                  <c:v>9</c:v>
                </c:pt>
                <c:pt idx="11">
                  <c:v>43</c:v>
                </c:pt>
                <c:pt idx="12">
                  <c:v>9</c:v>
                </c:pt>
                <c:pt idx="13">
                  <c:v>27</c:v>
                </c:pt>
              </c:numCache>
            </c:numRef>
          </c:val>
        </c:ser>
        <c:dLbls>
          <c:dLblPos val="outEnd"/>
          <c:showLegendKey val="0"/>
          <c:showVal val="1"/>
          <c:showCatName val="0"/>
          <c:showSerName val="0"/>
          <c:showPercent val="0"/>
          <c:showBubbleSize val="0"/>
        </c:dLbls>
        <c:gapWidth val="182"/>
        <c:axId val="144877056"/>
        <c:axId val="175462592"/>
      </c:barChart>
      <c:catAx>
        <c:axId val="144877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bg-BG"/>
          </a:p>
        </c:txPr>
        <c:crossAx val="175462592"/>
        <c:crosses val="autoZero"/>
        <c:auto val="1"/>
        <c:lblAlgn val="ctr"/>
        <c:lblOffset val="100"/>
        <c:noMultiLvlLbl val="0"/>
      </c:catAx>
      <c:valAx>
        <c:axId val="175462592"/>
        <c:scaling>
          <c:orientation val="minMax"/>
        </c:scaling>
        <c:delete val="1"/>
        <c:axPos val="b"/>
        <c:numFmt formatCode="General" sourceLinked="1"/>
        <c:majorTickMark val="none"/>
        <c:minorTickMark val="none"/>
        <c:tickLblPos val="nextTo"/>
        <c:crossAx val="144877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baseline="0">
                <a:solidFill>
                  <a:schemeClr val="dk1">
                    <a:lumMod val="65000"/>
                    <a:lumOff val="35000"/>
                  </a:schemeClr>
                </a:solidFill>
                <a:effectLst/>
                <a:latin typeface="+mj-lt"/>
                <a:ea typeface="+mn-ea"/>
                <a:cs typeface="+mn-cs"/>
              </a:defRPr>
            </a:pPr>
            <a:r>
              <a:rPr lang="bg-BG" sz="1100" b="1" i="0" baseline="0">
                <a:effectLst/>
                <a:latin typeface="+mj-lt"/>
              </a:rPr>
              <a:t>ОСЪДЕНИ МОЛИТЕЛИ ПО </a:t>
            </a:r>
          </a:p>
          <a:p>
            <a:pPr algn="l">
              <a:defRPr sz="1100" b="0" i="0" u="none" strike="noStrike" kern="1200" baseline="0">
                <a:solidFill>
                  <a:schemeClr val="dk1">
                    <a:lumMod val="65000"/>
                    <a:lumOff val="35000"/>
                  </a:schemeClr>
                </a:solidFill>
                <a:effectLst/>
                <a:latin typeface="+mj-lt"/>
                <a:ea typeface="+mn-ea"/>
                <a:cs typeface="+mn-cs"/>
              </a:defRPr>
            </a:pPr>
            <a:r>
              <a:rPr lang="bg-BG" sz="1100" b="1" i="0" baseline="0">
                <a:effectLst/>
                <a:latin typeface="+mj-lt"/>
              </a:rPr>
              <a:t>МЕСТОИЗТЪРПЯВАНЕ НА НАКАЗАНИЕТО</a:t>
            </a:r>
            <a:endParaRPr lang="bg-BG" sz="1100">
              <a:effectLst/>
              <a:latin typeface="+mj-lt"/>
            </a:endParaRPr>
          </a:p>
        </c:rich>
      </c:tx>
      <c:layout>
        <c:manualLayout>
          <c:xMode val="edge"/>
          <c:yMode val="edge"/>
          <c:x val="1.8956692913385826E-3"/>
          <c:y val="2.7777777777777776E-2"/>
        </c:manualLayout>
      </c:layout>
      <c:overlay val="0"/>
      <c:spPr>
        <a:noFill/>
        <a:ln>
          <a:noFill/>
        </a:ln>
        <a:effectLst/>
      </c:spPr>
    </c:title>
    <c:autoTitleDeleted val="0"/>
    <c:plotArea>
      <c:layout>
        <c:manualLayout>
          <c:layoutTarget val="inner"/>
          <c:xMode val="edge"/>
          <c:yMode val="edge"/>
          <c:x val="8.412379702537183E-2"/>
          <c:y val="0.10550925925925923"/>
          <c:w val="0.90601902887139096"/>
          <c:h val="0.63024788568095647"/>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'2011-01-12 - 2016-06-30'!$F$1:$Q$1</c:f>
              <c:strCache>
                <c:ptCount val="12"/>
                <c:pt idx="0">
                  <c:v>Стара Загора</c:v>
                </c:pt>
                <c:pt idx="1">
                  <c:v>София</c:v>
                </c:pt>
                <c:pt idx="2">
                  <c:v>Сливен</c:v>
                </c:pt>
                <c:pt idx="3">
                  <c:v>Пловдив</c:v>
                </c:pt>
                <c:pt idx="4">
                  <c:v>Плевен</c:v>
                </c:pt>
                <c:pt idx="5">
                  <c:v>Пазарджик</c:v>
                </c:pt>
                <c:pt idx="6">
                  <c:v>Ловеч</c:v>
                </c:pt>
                <c:pt idx="7">
                  <c:v>Враца</c:v>
                </c:pt>
                <c:pt idx="8">
                  <c:v>Варна</c:v>
                </c:pt>
                <c:pt idx="9">
                  <c:v>Бургас</c:v>
                </c:pt>
                <c:pt idx="10">
                  <c:v>Бобов дол</c:v>
                </c:pt>
                <c:pt idx="11">
                  <c:v>Белене</c:v>
                </c:pt>
              </c:strCache>
            </c:strRef>
          </c:cat>
          <c:val>
            <c:numRef>
              <c:f>'2011-01-12 - 2016-06-30'!$F$2:$Q$2</c:f>
              <c:numCache>
                <c:formatCode>General</c:formatCode>
                <c:ptCount val="12"/>
                <c:pt idx="0">
                  <c:v>3</c:v>
                </c:pt>
                <c:pt idx="1">
                  <c:v>10</c:v>
                </c:pt>
                <c:pt idx="2">
                  <c:v>3</c:v>
                </c:pt>
                <c:pt idx="3">
                  <c:v>3</c:v>
                </c:pt>
                <c:pt idx="4">
                  <c:v>8</c:v>
                </c:pt>
                <c:pt idx="5">
                  <c:v>5</c:v>
                </c:pt>
                <c:pt idx="6">
                  <c:v>8</c:v>
                </c:pt>
                <c:pt idx="7">
                  <c:v>4</c:v>
                </c:pt>
                <c:pt idx="8">
                  <c:v>3</c:v>
                </c:pt>
                <c:pt idx="9">
                  <c:v>6</c:v>
                </c:pt>
                <c:pt idx="10">
                  <c:v>7</c:v>
                </c:pt>
                <c:pt idx="11">
                  <c:v>8</c:v>
                </c:pt>
              </c:numCache>
            </c:numRef>
          </c:val>
        </c:ser>
        <c:dLbls>
          <c:dLblPos val="inEnd"/>
          <c:showLegendKey val="0"/>
          <c:showVal val="1"/>
          <c:showCatName val="0"/>
          <c:showSerName val="0"/>
          <c:showPercent val="0"/>
          <c:showBubbleSize val="0"/>
        </c:dLbls>
        <c:gapWidth val="41"/>
        <c:axId val="144877568"/>
        <c:axId val="204259328"/>
      </c:barChart>
      <c:catAx>
        <c:axId val="14487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j-lt"/>
                <a:ea typeface="+mn-ea"/>
                <a:cs typeface="+mn-cs"/>
              </a:defRPr>
            </a:pPr>
            <a:endParaRPr lang="bg-BG"/>
          </a:p>
        </c:txPr>
        <c:crossAx val="204259328"/>
        <c:crosses val="autoZero"/>
        <c:auto val="1"/>
        <c:lblAlgn val="ctr"/>
        <c:lblOffset val="100"/>
        <c:noMultiLvlLbl val="0"/>
      </c:catAx>
      <c:valAx>
        <c:axId val="204259328"/>
        <c:scaling>
          <c:orientation val="minMax"/>
        </c:scaling>
        <c:delete val="1"/>
        <c:axPos val="l"/>
        <c:numFmt formatCode="General" sourceLinked="1"/>
        <c:majorTickMark val="none"/>
        <c:minorTickMark val="none"/>
        <c:tickLblPos val="nextTo"/>
        <c:crossAx val="14487756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bg1"/>
      </a:solidFill>
      <a:round/>
    </a:ln>
    <a:effectLst/>
  </c:spPr>
  <c:txPr>
    <a:bodyPr/>
    <a:lstStyle/>
    <a:p>
      <a:pPr>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100" b="0" i="0" u="none" strike="noStrike" kern="1200" spc="0" baseline="0">
                <a:solidFill>
                  <a:schemeClr val="tx1">
                    <a:lumMod val="65000"/>
                    <a:lumOff val="35000"/>
                  </a:schemeClr>
                </a:solidFill>
                <a:latin typeface="+mj-lt"/>
                <a:ea typeface="+mn-ea"/>
                <a:cs typeface="+mn-cs"/>
              </a:defRPr>
            </a:pPr>
            <a:r>
              <a:rPr lang="bg-BG" sz="1100" b="1">
                <a:effectLst/>
                <a:latin typeface="+mj-lt"/>
              </a:rPr>
              <a:t>ОСЪДЕНИ МОЛИТЕЛИ ПО </a:t>
            </a:r>
          </a:p>
          <a:p>
            <a:pPr algn="r">
              <a:defRPr sz="1100" b="0" i="0" u="none" strike="noStrike" kern="1200" spc="0" baseline="0">
                <a:solidFill>
                  <a:schemeClr val="tx1">
                    <a:lumMod val="65000"/>
                    <a:lumOff val="35000"/>
                  </a:schemeClr>
                </a:solidFill>
                <a:latin typeface="+mj-lt"/>
                <a:ea typeface="+mn-ea"/>
                <a:cs typeface="+mn-cs"/>
              </a:defRPr>
            </a:pPr>
            <a:r>
              <a:rPr lang="bg-BG" sz="1100" b="1">
                <a:effectLst/>
                <a:latin typeface="+mj-lt"/>
              </a:rPr>
              <a:t>ВИД</a:t>
            </a:r>
            <a:r>
              <a:rPr lang="bg-BG" sz="1100" b="1" baseline="0">
                <a:effectLst/>
                <a:latin typeface="+mj-lt"/>
              </a:rPr>
              <a:t> НА ОСНОВНОТО НАКАЗАНИЕ</a:t>
            </a:r>
            <a:endParaRPr lang="bg-BG" sz="1100">
              <a:effectLst/>
              <a:latin typeface="+mj-lt"/>
            </a:endParaRPr>
          </a:p>
        </c:rich>
      </c:tx>
      <c:layout>
        <c:manualLayout>
          <c:xMode val="edge"/>
          <c:yMode val="edge"/>
          <c:x val="0.387919931061249"/>
          <c:y val="2.0684299949700866E-2"/>
        </c:manualLayout>
      </c:layout>
      <c:overlay val="0"/>
      <c:spPr>
        <a:noFill/>
        <a:ln>
          <a:noFill/>
        </a:ln>
        <a:effectLst/>
      </c:spPr>
    </c:title>
    <c:autoTitleDeleted val="0"/>
    <c:plotArea>
      <c:layout>
        <c:manualLayout>
          <c:layoutTarget val="inner"/>
          <c:xMode val="edge"/>
          <c:yMode val="edge"/>
          <c:x val="3.0555555555555555E-2"/>
          <c:y val="4.0694444444444436E-2"/>
          <c:w val="0.93888888888888888"/>
          <c:h val="0.75629629629629636"/>
        </c:manualLayout>
      </c:layout>
      <c:barChart>
        <c:barDir val="col"/>
        <c:grouping val="clustered"/>
        <c:varyColors val="0"/>
        <c:ser>
          <c:idx val="4"/>
          <c:order val="0"/>
          <c:spPr>
            <a:solidFill>
              <a:schemeClr val="accent5"/>
            </a:solidFill>
            <a:ln>
              <a:noFill/>
            </a:ln>
            <a:effectLst/>
          </c:spPr>
          <c:invertIfNegative val="0"/>
          <c:dLbls>
            <c:dLbl>
              <c:idx val="0"/>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j-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'2011-01-12 - 2016-06-30'!$D$1:$G$1</c:f>
              <c:strCache>
                <c:ptCount val="4"/>
                <c:pt idx="0">
                  <c:v>Лишаване от свобода до 10 год.</c:v>
                </c:pt>
                <c:pt idx="1">
                  <c:v>Лишаване от свобода, 11-19 год.</c:v>
                </c:pt>
                <c:pt idx="2">
                  <c:v>Лишаване от свобода 20 и повече год.</c:v>
                </c:pt>
                <c:pt idx="3">
                  <c:v>Доживотен затвор без замяна</c:v>
                </c:pt>
              </c:strCache>
            </c:strRef>
          </c:cat>
          <c:val>
            <c:numRef>
              <c:f>'2011-01-12 - 2016-06-30'!$D$6:$G$6</c:f>
              <c:numCache>
                <c:formatCode>General</c:formatCode>
                <c:ptCount val="4"/>
                <c:pt idx="0">
                  <c:v>47</c:v>
                </c:pt>
                <c:pt idx="1">
                  <c:v>15</c:v>
                </c:pt>
                <c:pt idx="2">
                  <c:v>6</c:v>
                </c:pt>
                <c:pt idx="3">
                  <c:v>1</c:v>
                </c:pt>
              </c:numCache>
            </c:numRef>
          </c:val>
        </c:ser>
        <c:dLbls>
          <c:showLegendKey val="0"/>
          <c:showVal val="0"/>
          <c:showCatName val="0"/>
          <c:showSerName val="0"/>
          <c:showPercent val="0"/>
          <c:showBubbleSize val="0"/>
        </c:dLbls>
        <c:gapWidth val="219"/>
        <c:overlap val="-27"/>
        <c:axId val="144878080"/>
        <c:axId val="20426105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'2011-01-12 - 2016-06-30'!$D$1:$G$1</c15:sqref>
                        </c15:formulaRef>
                      </c:ext>
                    </c:extLst>
                    <c:strCache>
                      <c:ptCount val="4"/>
                      <c:pt idx="0">
                        <c:v>Лишаване от свобода до 10 год.</c:v>
                      </c:pt>
                      <c:pt idx="1">
                        <c:v>Лишаване от свобода, 11-19 год.</c:v>
                      </c:pt>
                      <c:pt idx="2">
                        <c:v>Лишаване от свобода 20 и повече год.</c:v>
                      </c:pt>
                      <c:pt idx="3">
                        <c:v>Доживотен затвор без замяна</c:v>
                      </c:pt>
                    </c:strCache>
                  </c:strRef>
                </c:cat>
                <c:val>
                  <c:numRef>
                    <c:extLst>
                      <c:ext uri="{02D57815-91ED-43cb-92C2-25804820EDAC}">
                        <c15:formulaRef>
                          <c15:sqref>'2011-01-12 - 2016-06-30'!$D$2:$G$2</c15:sqref>
                        </c15:formulaRef>
                      </c:ext>
                    </c:extLst>
                    <c:numCache>
                      <c:formatCode>General</c:formatCode>
                      <c:ptCount val="4"/>
                    </c:numCache>
                  </c:numRef>
                </c:val>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'2011-01-12 - 2016-06-30'!$D$1:$G$1</c15:sqref>
                        </c15:formulaRef>
                      </c:ext>
                    </c:extLst>
                    <c:strCache>
                      <c:ptCount val="4"/>
                      <c:pt idx="0">
                        <c:v>Лишаване от свобода до 10 год.</c:v>
                      </c:pt>
                      <c:pt idx="1">
                        <c:v>Лишаване от свобода, 11-19 год.</c:v>
                      </c:pt>
                      <c:pt idx="2">
                        <c:v>Лишаване от свобода 20 и повече год.</c:v>
                      </c:pt>
                      <c:pt idx="3">
                        <c:v>Доживотен затвор без замяна</c:v>
                      </c:pt>
                    </c:strCache>
                  </c:strRef>
                </c:cat>
                <c:val>
                  <c:numRef>
                    <c:extLst xmlns:c15="http://schemas.microsoft.com/office/drawing/2012/chart">
                      <c:ext xmlns:c15="http://schemas.microsoft.com/office/drawing/2012/chart" uri="{02D57815-91ED-43cb-92C2-25804820EDAC}">
                        <c15:formulaRef>
                          <c15:sqref>'2011-01-12 - 2016-06-30'!$D$3:$G$3</c15:sqref>
                        </c15:formulaRef>
                      </c:ext>
                    </c:extLst>
                    <c:numCache>
                      <c:formatCode>General</c:formatCode>
                      <c:ptCount val="4"/>
                    </c:numCache>
                  </c:numRef>
                </c:val>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'2011-01-12 - 2016-06-30'!$D$1:$G$1</c15:sqref>
                        </c15:formulaRef>
                      </c:ext>
                    </c:extLst>
                    <c:strCache>
                      <c:ptCount val="4"/>
                      <c:pt idx="0">
                        <c:v>Лишаване от свобода до 10 год.</c:v>
                      </c:pt>
                      <c:pt idx="1">
                        <c:v>Лишаване от свобода, 11-19 год.</c:v>
                      </c:pt>
                      <c:pt idx="2">
                        <c:v>Лишаване от свобода 20 и повече год.</c:v>
                      </c:pt>
                      <c:pt idx="3">
                        <c:v>Доживотен затвор без замяна</c:v>
                      </c:pt>
                    </c:strCache>
                  </c:strRef>
                </c:cat>
                <c:val>
                  <c:numRef>
                    <c:extLst xmlns:c15="http://schemas.microsoft.com/office/drawing/2012/chart">
                      <c:ext xmlns:c15="http://schemas.microsoft.com/office/drawing/2012/chart" uri="{02D57815-91ED-43cb-92C2-25804820EDAC}">
                        <c15:formulaRef>
                          <c15:sqref>'2011-01-12 - 2016-06-30'!$D$4:$G$4</c15:sqref>
                        </c15:formulaRef>
                      </c:ext>
                    </c:extLst>
                    <c:numCache>
                      <c:formatCode>General</c:formatCode>
                      <c:ptCount val="4"/>
                    </c:numCache>
                  </c:numRef>
                </c:val>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'2011-01-12 - 2016-06-30'!$D$1:$G$1</c15:sqref>
                        </c15:formulaRef>
                      </c:ext>
                    </c:extLst>
                    <c:strCache>
                      <c:ptCount val="4"/>
                      <c:pt idx="0">
                        <c:v>Лишаване от свобода до 10 год.</c:v>
                      </c:pt>
                      <c:pt idx="1">
                        <c:v>Лишаване от свобода, 11-19 год.</c:v>
                      </c:pt>
                      <c:pt idx="2">
                        <c:v>Лишаване от свобода 20 и повече год.</c:v>
                      </c:pt>
                      <c:pt idx="3">
                        <c:v>Доживотен затвор без замяна</c:v>
                      </c:pt>
                    </c:strCache>
                  </c:strRef>
                </c:cat>
                <c:val>
                  <c:numRef>
                    <c:extLst xmlns:c15="http://schemas.microsoft.com/office/drawing/2012/chart">
                      <c:ext xmlns:c15="http://schemas.microsoft.com/office/drawing/2012/chart" uri="{02D57815-91ED-43cb-92C2-25804820EDAC}">
                        <c15:formulaRef>
                          <c15:sqref>'2011-01-12 - 2016-06-30'!$D$5:$G$5</c15:sqref>
                        </c15:formulaRef>
                      </c:ext>
                    </c:extLst>
                    <c:numCache>
                      <c:formatCode>General</c:formatCode>
                      <c:ptCount val="4"/>
                    </c:numCache>
                  </c:numRef>
                </c:val>
              </c15:ser>
            </c15:filteredBarSeries>
          </c:ext>
        </c:extLst>
      </c:barChart>
      <c:catAx>
        <c:axId val="14487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bg-BG"/>
          </a:p>
        </c:txPr>
        <c:crossAx val="204261056"/>
        <c:crosses val="autoZero"/>
        <c:auto val="1"/>
        <c:lblAlgn val="ctr"/>
        <c:lblOffset val="100"/>
        <c:noMultiLvlLbl val="0"/>
      </c:catAx>
      <c:valAx>
        <c:axId val="204261056"/>
        <c:scaling>
          <c:orientation val="minMax"/>
        </c:scaling>
        <c:delete val="1"/>
        <c:axPos val="l"/>
        <c:numFmt formatCode="General" sourceLinked="1"/>
        <c:majorTickMark val="none"/>
        <c:minorTickMark val="none"/>
        <c:tickLblPos val="nextTo"/>
        <c:crossAx val="144878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bg-B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bg-BG" sz="1000">
                <a:latin typeface="+mj-lt"/>
              </a:rPr>
              <a:t>МОЛИТЕЛИТЕ</a:t>
            </a:r>
            <a:r>
              <a:rPr lang="bg-BG" sz="1000" baseline="0">
                <a:latin typeface="+mj-lt"/>
              </a:rPr>
              <a:t> ПО МОТИВИ</a:t>
            </a:r>
          </a:p>
          <a:p>
            <a:pPr algn="l">
              <a:defRPr/>
            </a:pPr>
            <a:r>
              <a:rPr lang="bg-BG" sz="1000" baseline="0">
                <a:latin typeface="+mj-lt"/>
              </a:rPr>
              <a:t>сумата от процентите дава повече от 100%, </a:t>
            </a:r>
          </a:p>
          <a:p>
            <a:pPr algn="l">
              <a:defRPr/>
            </a:pPr>
            <a:r>
              <a:rPr lang="bg-BG" sz="1000" baseline="0">
                <a:latin typeface="+mj-lt"/>
              </a:rPr>
              <a:t>тъй като молителите са сочили повече </a:t>
            </a:r>
          </a:p>
          <a:p>
            <a:pPr algn="l">
              <a:defRPr/>
            </a:pPr>
            <a:r>
              <a:rPr lang="bg-BG" sz="1000" baseline="0">
                <a:latin typeface="+mj-lt"/>
              </a:rPr>
              <a:t>от една група мотиви</a:t>
            </a:r>
            <a:endParaRPr lang="en-GB" sz="1000">
              <a:latin typeface="+mj-lt"/>
            </a:endParaRPr>
          </a:p>
        </c:rich>
      </c:tx>
      <c:layout>
        <c:manualLayout>
          <c:xMode val="edge"/>
          <c:yMode val="edge"/>
          <c:x val="5.030641284781931E-2"/>
          <c:y val="2.3870417732310314E-2"/>
        </c:manualLayout>
      </c:layout>
      <c:overlay val="0"/>
    </c:title>
    <c:autoTitleDeleted val="0"/>
    <c:plotArea>
      <c:layout>
        <c:manualLayout>
          <c:layoutTarget val="inner"/>
          <c:xMode val="edge"/>
          <c:yMode val="edge"/>
          <c:x val="0.50731281195214584"/>
          <c:y val="2.6967176855702026E-2"/>
          <c:w val="0.24657783677423464"/>
          <c:h val="0.97303287216975121"/>
        </c:manualLayout>
      </c:layout>
      <c:barChart>
        <c:barDir val="bar"/>
        <c:grouping val="clustered"/>
        <c:varyColors val="0"/>
        <c:ser>
          <c:idx val="0"/>
          <c:order val="0"/>
          <c:invertIfNegative val="0"/>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'2011-02-12 - 2016-03-31'!$D$1:$I$1</c:f>
              <c:strCache>
                <c:ptCount val="6"/>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3">
                  <c:v>Прекомерност / нецелесъобразност на репресия: Поправянето не е оценено, затворът вреди на осъдения, наказанието прези на осъдения да се развива</c:v>
                </c:pt>
                <c:pt idx="4">
                  <c:v>Разкаяние</c:v>
                </c:pt>
                <c:pt idx="5">
                  <c:v>Други</c:v>
                </c:pt>
              </c:strCache>
            </c:strRef>
          </c:cat>
          <c:val>
            <c:numRef>
              <c:f>'2011-02-12 - 2016-03-31'!$D$2:$I$2</c:f>
              <c:numCache>
                <c:formatCode>0%</c:formatCode>
                <c:ptCount val="6"/>
                <c:pt idx="0">
                  <c:v>0.14000000000000001</c:v>
                </c:pt>
                <c:pt idx="1">
                  <c:v>0.15</c:v>
                </c:pt>
                <c:pt idx="2">
                  <c:v>0.69</c:v>
                </c:pt>
                <c:pt idx="3">
                  <c:v>0.08</c:v>
                </c:pt>
                <c:pt idx="4">
                  <c:v>0.3</c:v>
                </c:pt>
                <c:pt idx="5">
                  <c:v>0.12</c:v>
                </c:pt>
              </c:numCache>
            </c:numRef>
          </c:val>
        </c:ser>
        <c:dLbls>
          <c:showLegendKey val="0"/>
          <c:showVal val="1"/>
          <c:showCatName val="0"/>
          <c:showSerName val="0"/>
          <c:showPercent val="0"/>
          <c:showBubbleSize val="0"/>
        </c:dLbls>
        <c:gapWidth val="150"/>
        <c:overlap val="-25"/>
        <c:axId val="144879104"/>
        <c:axId val="204262784"/>
      </c:barChart>
      <c:catAx>
        <c:axId val="144879104"/>
        <c:scaling>
          <c:orientation val="minMax"/>
        </c:scaling>
        <c:delete val="0"/>
        <c:axPos val="l"/>
        <c:numFmt formatCode="General" sourceLinked="0"/>
        <c:majorTickMark val="none"/>
        <c:minorTickMark val="none"/>
        <c:tickLblPos val="nextTo"/>
        <c:txPr>
          <a:bodyPr/>
          <a:lstStyle/>
          <a:p>
            <a:pPr>
              <a:defRPr sz="900">
                <a:latin typeface="+mj-lt"/>
              </a:defRPr>
            </a:pPr>
            <a:endParaRPr lang="bg-BG"/>
          </a:p>
        </c:txPr>
        <c:crossAx val="204262784"/>
        <c:crosses val="autoZero"/>
        <c:auto val="1"/>
        <c:lblAlgn val="ctr"/>
        <c:lblOffset val="100"/>
        <c:noMultiLvlLbl val="0"/>
      </c:catAx>
      <c:valAx>
        <c:axId val="204262784"/>
        <c:scaling>
          <c:orientation val="minMax"/>
        </c:scaling>
        <c:delete val="1"/>
        <c:axPos val="b"/>
        <c:numFmt formatCode="0%" sourceLinked="1"/>
        <c:majorTickMark val="out"/>
        <c:minorTickMark val="none"/>
        <c:tickLblPos val="nextTo"/>
        <c:crossAx val="144879104"/>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0.0191</cdr:y>
    </cdr:from>
    <cdr:to>
      <cdr:x>0.99479</cdr:x>
      <cdr:y>0.10776</cdr:y>
    </cdr:to>
    <cdr:sp macro="" textlink="">
      <cdr:nvSpPr>
        <cdr:cNvPr id="2" name="TextBox 1"/>
        <cdr:cNvSpPr txBox="1"/>
      </cdr:nvSpPr>
      <cdr:spPr>
        <a:xfrm xmlns:a="http://schemas.openxmlformats.org/drawingml/2006/main">
          <a:off x="0" y="42208"/>
          <a:ext cx="3714347" cy="1959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b="1">
              <a:latin typeface="+mj-lt"/>
            </a:rPr>
            <a:t>МОЛИТЕЛИТЕ ПО</a:t>
          </a:r>
          <a:r>
            <a:rPr lang="bg-BG" sz="1100" b="1" baseline="0">
              <a:latin typeface="+mj-lt"/>
            </a:rPr>
            <a:t> ОБРАЗОВАНИЕ</a:t>
          </a:r>
          <a:endParaRPr lang="bg-BG" sz="1100" b="1">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B549D-F62F-49A2-8B30-F31F7A1D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3748</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Iva Pushkarova</cp:lastModifiedBy>
  <cp:revision>2</cp:revision>
  <cp:lastPrinted>2016-07-20T09:29:00Z</cp:lastPrinted>
  <dcterms:created xsi:type="dcterms:W3CDTF">2016-07-20T12:09:00Z</dcterms:created>
  <dcterms:modified xsi:type="dcterms:W3CDTF">2016-07-20T12:09:00Z</dcterms:modified>
</cp:coreProperties>
</file>