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5F" w:rsidRPr="00385E1B" w:rsidRDefault="0078015F" w:rsidP="00BB2E4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8015F" w:rsidRPr="00385E1B" w:rsidRDefault="0078015F" w:rsidP="00BB2E4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p w:rsidR="00BB2E40" w:rsidRPr="00385E1B" w:rsidRDefault="00E053D1" w:rsidP="00BB2E4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ДИНАМИКА НА СРЕДАТА ЗА СИГУРНОСТ</w:t>
      </w:r>
    </w:p>
    <w:p w:rsidR="00E053D1" w:rsidRPr="00385E1B" w:rsidRDefault="00385E1B" w:rsidP="00BB2E4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„ХИБРИДНИТЕ” ВОЙНИ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СЪЩНОСТ И ИЗМЕРЕНИЯ</w:t>
      </w:r>
    </w:p>
    <w:p w:rsidR="007B3C4C" w:rsidRPr="00385E1B" w:rsidRDefault="00385E1B" w:rsidP="00BB2E4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СЛАВЧО ВЕЛКОВ *</w:t>
      </w:r>
    </w:p>
    <w:p w:rsidR="00001264" w:rsidRPr="00385E1B" w:rsidRDefault="00001264" w:rsidP="00391B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053D1" w:rsidRPr="00385E1B" w:rsidRDefault="00E053D1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1. Оценка на средата за сигурност</w:t>
      </w:r>
      <w:r w:rsidR="0076540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през пролетта на 2016 година. Рискове и заплахи за сигурността.</w:t>
      </w:r>
    </w:p>
    <w:p w:rsidR="00765400" w:rsidRPr="00385E1B" w:rsidRDefault="00E053D1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През последните няколко години в средата за сигурност в глобален и регионален мащаб настъпиха значителни промени, довели до рязко повишаване на интензитета на конфликтите в „горещите точки”, възникване на вакуум на сигурност и огнища на на</w:t>
      </w:r>
      <w:r w:rsidR="00765400" w:rsidRPr="00385E1B">
        <w:rPr>
          <w:rFonts w:ascii="Times New Roman" w:hAnsi="Times New Roman" w:cs="Times New Roman"/>
          <w:sz w:val="24"/>
          <w:szCs w:val="24"/>
          <w:lang w:val="bg-BG"/>
        </w:rPr>
        <w:t>прежение с фатални последствия:</w:t>
      </w:r>
    </w:p>
    <w:p w:rsidR="00765400" w:rsidRPr="00385E1B" w:rsidRDefault="00765400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E053D1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голям </w:t>
      </w:r>
      <w:r w:rsidR="006D6A58" w:rsidRPr="00385E1B">
        <w:rPr>
          <w:rFonts w:ascii="Times New Roman" w:hAnsi="Times New Roman" w:cs="Times New Roman"/>
          <w:sz w:val="24"/>
          <w:szCs w:val="24"/>
          <w:lang w:val="bg-BG"/>
        </w:rPr>
        <w:t>брой жертви, ранени и уплашени;</w:t>
      </w:r>
    </w:p>
    <w:p w:rsidR="00502290" w:rsidRPr="00385E1B" w:rsidRDefault="00765400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E053D1" w:rsidRPr="00385E1B">
        <w:rPr>
          <w:rFonts w:ascii="Times New Roman" w:hAnsi="Times New Roman" w:cs="Times New Roman"/>
          <w:sz w:val="24"/>
          <w:szCs w:val="24"/>
          <w:lang w:val="bg-BG"/>
        </w:rPr>
        <w:t>масова миграция на населен</w:t>
      </w:r>
      <w:r w:rsidR="006D6A58" w:rsidRPr="00385E1B">
        <w:rPr>
          <w:rFonts w:ascii="Times New Roman" w:hAnsi="Times New Roman" w:cs="Times New Roman"/>
          <w:sz w:val="24"/>
          <w:szCs w:val="24"/>
          <w:lang w:val="bg-BG"/>
        </w:rPr>
        <w:t>ие;</w:t>
      </w:r>
      <w:r w:rsidR="00E053D1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2290" w:rsidRPr="00385E1B" w:rsidRDefault="00502290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- преначертаване на съществуващи граници.</w:t>
      </w:r>
    </w:p>
    <w:p w:rsidR="001E0A82" w:rsidRPr="00385E1B" w:rsidRDefault="00E053D1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След средата на 2015 година актуалната среда за сигурност се характеризира с </w:t>
      </w:r>
      <w:r w:rsidR="00385E1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особена динамика и специфика, пораждащи нови предизвикателства.</w:t>
      </w:r>
      <w:r w:rsidR="00D570B8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Разположението на България в Балканския стратегически район </w:t>
      </w:r>
      <w:r w:rsidR="00385E1B">
        <w:rPr>
          <w:rFonts w:ascii="Times New Roman" w:hAnsi="Times New Roman" w:cs="Times New Roman"/>
          <w:sz w:val="24"/>
          <w:szCs w:val="24"/>
          <w:lang w:val="bg-BG"/>
        </w:rPr>
        <w:t xml:space="preserve">й </w:t>
      </w:r>
      <w:r w:rsidR="00D570B8" w:rsidRPr="00385E1B">
        <w:rPr>
          <w:rFonts w:ascii="Times New Roman" w:hAnsi="Times New Roman" w:cs="Times New Roman"/>
          <w:sz w:val="24"/>
          <w:szCs w:val="24"/>
          <w:lang w:val="bg-BG"/>
        </w:rPr>
        <w:t>отрежда важна роля в поддържането на сигурността на части от югоизточния фланг на НАТО и охрана на важни участъци от външните граници на Европейския съюз. Като активен член на колективния договор за отбрана и сигурност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570B8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страната ни е задължена да изгражда и поддържа оперативни способности, г</w:t>
      </w:r>
      <w:r w:rsidR="001E0A82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арантиращи надеждната защита на </w:t>
      </w:r>
      <w:r w:rsidR="00D570B8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националната </w:t>
      </w:r>
      <w:r w:rsidR="00385E1B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D570B8" w:rsidRPr="00385E1B">
        <w:rPr>
          <w:rFonts w:ascii="Times New Roman" w:hAnsi="Times New Roman" w:cs="Times New Roman"/>
          <w:sz w:val="24"/>
          <w:szCs w:val="24"/>
          <w:lang w:val="bg-BG"/>
        </w:rPr>
        <w:t>и сигурност.</w:t>
      </w:r>
      <w:r w:rsidR="001E0A82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Още 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1E0A82" w:rsidRPr="00385E1B">
        <w:rPr>
          <w:rFonts w:ascii="Times New Roman" w:hAnsi="Times New Roman" w:cs="Times New Roman"/>
          <w:sz w:val="24"/>
          <w:szCs w:val="24"/>
          <w:lang w:val="bg-BG"/>
        </w:rPr>
        <w:t>овече, че географски България се намира в зона с висока концентрация на рискове и заплахи и конфликтно противопоставяне</w:t>
      </w:r>
      <w:r w:rsidR="00385E1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E0A82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в сравнение с много други страни от Евроатлантическата общност.</w:t>
      </w:r>
    </w:p>
    <w:p w:rsidR="001E0A82" w:rsidRPr="00385E1B" w:rsidRDefault="001E0A82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Дин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мик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2529F6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средата за сигурност и нарас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налите мащаби на заплахите поставят на сериозно изпитание системите за сигурност и налагат необходимостта от нова политика в подхода и практиките за адекватен отговор на предизвикателствата.</w:t>
      </w:r>
    </w:p>
    <w:p w:rsidR="00BE1CE9" w:rsidRPr="00385E1B" w:rsidRDefault="001E0A82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Въпреки 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>проявените признаци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стартиране на процес на (макар и условно)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размиване на границите между външната и вътрешната сигурност, в зависимост от мащаба, хара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ктера и територията за вероятно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проявление, определяме риско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ете и заплахите за националната сигурност като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външни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вътрешни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. С условието, че част от първите могат в определен момент да представляват заплаха за колективната сигурност на НАТО </w:t>
      </w:r>
      <w:r w:rsidR="00BE1CE9" w:rsidRPr="00385E1B">
        <w:rPr>
          <w:rFonts w:ascii="Times New Roman" w:hAnsi="Times New Roman" w:cs="Times New Roman"/>
          <w:sz w:val="24"/>
          <w:szCs w:val="24"/>
          <w:lang w:val="bg-BG"/>
        </w:rPr>
        <w:t>или отделни страни – членки на алианса.</w:t>
      </w:r>
    </w:p>
    <w:p w:rsidR="0078015F" w:rsidRPr="00385E1B" w:rsidRDefault="0078015F" w:rsidP="00391B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E1CE9" w:rsidRPr="00385E1B" w:rsidRDefault="00BE1CE9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1.1. Външни заплахи:</w:t>
      </w:r>
      <w:r w:rsidR="00D570B8" w:rsidRPr="00385E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</w:p>
    <w:p w:rsidR="00385E1B" w:rsidRDefault="00BE1CE9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Като такива към настоящия момент могат да се дефинират възможностите за вредоносно въздействие върху националната сигурност на ограничени или мащабни конфликти в непосредствена близост до територията на страната по суша, въздух и море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, а именно: </w:t>
      </w:r>
    </w:p>
    <w:p w:rsidR="00502290" w:rsidRPr="00385E1B" w:rsidRDefault="00502290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CA4342" w:rsidRPr="00385E1B">
        <w:rPr>
          <w:rFonts w:ascii="Times New Roman" w:hAnsi="Times New Roman" w:cs="Times New Roman"/>
          <w:sz w:val="24"/>
          <w:szCs w:val="24"/>
          <w:lang w:val="bg-BG"/>
        </w:rPr>
        <w:t>международен тероризъм;</w:t>
      </w:r>
      <w:r w:rsidR="00BE1CE9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2290" w:rsidRPr="00385E1B" w:rsidRDefault="00502290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- трудноконтролируеми</w:t>
      </w:r>
      <w:r w:rsidR="00CA4342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мигрантски вълни;</w:t>
      </w:r>
      <w:r w:rsidR="00BE1CE9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2290" w:rsidRPr="00385E1B" w:rsidRDefault="00502290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BE1CE9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трансгранична организирана престъпност и особено опасната </w:t>
      </w:r>
      <w:r w:rsidR="00385E1B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="00BE1CE9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форма – незаконно превеждане на хора през </w:t>
      </w:r>
      <w:r w:rsidR="00CA4342" w:rsidRPr="00385E1B">
        <w:rPr>
          <w:rFonts w:ascii="Times New Roman" w:hAnsi="Times New Roman" w:cs="Times New Roman"/>
          <w:sz w:val="24"/>
          <w:szCs w:val="24"/>
          <w:lang w:val="bg-BG"/>
        </w:rPr>
        <w:t>държавни граници;</w:t>
      </w:r>
      <w:r w:rsidR="00BE1CE9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02290" w:rsidRPr="00385E1B" w:rsidRDefault="00502290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BE1CE9" w:rsidRPr="00385E1B">
        <w:rPr>
          <w:rFonts w:ascii="Times New Roman" w:hAnsi="Times New Roman" w:cs="Times New Roman"/>
          <w:sz w:val="24"/>
          <w:szCs w:val="24"/>
          <w:lang w:val="bg-BG"/>
        </w:rPr>
        <w:t>разпространението, проникването и засилващото се влияние на ултраконс</w:t>
      </w:r>
      <w:r w:rsidR="00CA4342" w:rsidRPr="00385E1B">
        <w:rPr>
          <w:rFonts w:ascii="Times New Roman" w:hAnsi="Times New Roman" w:cs="Times New Roman"/>
          <w:sz w:val="24"/>
          <w:szCs w:val="24"/>
          <w:lang w:val="bg-BG"/>
        </w:rPr>
        <w:t>ервативни религиозни идеологии;</w:t>
      </w:r>
    </w:p>
    <w:p w:rsidR="00502290" w:rsidRPr="00385E1B" w:rsidRDefault="00502290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- външни кибератаки и др.</w:t>
      </w:r>
    </w:p>
    <w:p w:rsidR="00BE1CE9" w:rsidRPr="00385E1B" w:rsidRDefault="00BE1CE9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Като важен</w:t>
      </w:r>
      <w:r w:rsidR="00CA4342" w:rsidRPr="00385E1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многокомпонентен организъм за защита на националните интереси, националната система за сигурност има задължени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и отговорности в процеса за неутрализиране на посочените външни заплахи.</w:t>
      </w:r>
    </w:p>
    <w:p w:rsidR="0078015F" w:rsidRPr="00385E1B" w:rsidRDefault="0078015F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570B8" w:rsidRPr="00385E1B" w:rsidRDefault="00BE1CE9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Анализът на външната среда за сигурност дава основание към пролетта на 2016 година, а вероятно и в следващите няколко години да се посочат като най-важни следните фактор</w:t>
      </w:r>
      <w:r w:rsidR="00627877" w:rsidRPr="00385E1B">
        <w:rPr>
          <w:rFonts w:ascii="Times New Roman" w:hAnsi="Times New Roman" w:cs="Times New Roman"/>
          <w:sz w:val="24"/>
          <w:szCs w:val="24"/>
          <w:lang w:val="bg-BG"/>
        </w:rPr>
        <w:t>и, генериращи реални рискове и заплахи за страната ни:</w:t>
      </w:r>
    </w:p>
    <w:p w:rsidR="00D570B8" w:rsidRPr="00385E1B" w:rsidRDefault="00627877" w:rsidP="00391BB7">
      <w:pPr>
        <w:pStyle w:val="ListParagraph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Значителните промени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във военнополитическите процеси и последвалата дестабилизация</w:t>
      </w:r>
      <w:r w:rsidR="00385E1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достигаща понякога границите на разпадане на държавността в страни от Близкия Изток, Северна и Западна Африка, Арабския полуостров,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lastRenderedPageBreak/>
        <w:t>Централна Азия, Персийски залив (Сирия, Ирак, Ливан, Йемен, Афганистан, Пакистан). Въпреки постигнатите договорености з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а временни примирия,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прекратяване на огъня и провеждащите се преговори (Сирия, Йемен), този фактор ще продължи да бъде един от сновните генериращи рискове и заплахи. С особена </w:t>
      </w:r>
      <w:r w:rsidR="008E2802" w:rsidRPr="00385E1B">
        <w:rPr>
          <w:rFonts w:ascii="Times New Roman" w:hAnsi="Times New Roman" w:cs="Times New Roman"/>
          <w:sz w:val="24"/>
          <w:szCs w:val="24"/>
          <w:lang w:val="bg-BG"/>
        </w:rPr>
        <w:t>сила през последните два месеца това се отнася до ситуацията в Либия и в известна степен – в съседна Турция;</w:t>
      </w:r>
    </w:p>
    <w:p w:rsidR="00502290" w:rsidRPr="00385E1B" w:rsidRDefault="00502290" w:rsidP="0050229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26104" w:rsidRPr="00385E1B" w:rsidRDefault="008E2802" w:rsidP="00391BB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Вътрешнополитическата нестабилност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и рязкото влошаване на средата за сигурност в Турция (вкл. под влиянието на процесите в С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ирия и Ирак). Тази тенденция е засилваща се</w:t>
      </w:r>
      <w:r w:rsidR="00385E1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особено след средата на март 2016 година, вследствие на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26104" w:rsidRPr="00385E1B" w:rsidRDefault="00D26104" w:rsidP="00391B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="008E2802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повишената те</w:t>
      </w:r>
      <w:r w:rsidR="0050229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рористична активност (Истанбул, </w:t>
      </w:r>
      <w:r w:rsidR="003A1569">
        <w:rPr>
          <w:rFonts w:ascii="Times New Roman" w:hAnsi="Times New Roman" w:cs="Times New Roman"/>
          <w:sz w:val="24"/>
          <w:szCs w:val="24"/>
          <w:lang w:val="bg-BG"/>
        </w:rPr>
        <w:t>Анкара, Диарба</w:t>
      </w:r>
      <w:r w:rsidR="00D81CEF" w:rsidRPr="00385E1B">
        <w:rPr>
          <w:rFonts w:ascii="Times New Roman" w:hAnsi="Times New Roman" w:cs="Times New Roman"/>
          <w:sz w:val="24"/>
          <w:szCs w:val="24"/>
          <w:lang w:val="bg-BG"/>
        </w:rPr>
        <w:t>кър);</w:t>
      </w:r>
      <w:r w:rsidR="008E2802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26104" w:rsidRPr="00385E1B" w:rsidRDefault="00D26104" w:rsidP="00391B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81CEF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E2802" w:rsidRPr="00385E1B">
        <w:rPr>
          <w:rFonts w:ascii="Times New Roman" w:hAnsi="Times New Roman" w:cs="Times New Roman"/>
          <w:sz w:val="24"/>
          <w:szCs w:val="24"/>
          <w:lang w:val="bg-BG"/>
        </w:rPr>
        <w:t>заявените намерения за кюрдска автономия в Северна Сирия</w:t>
      </w:r>
      <w:r w:rsidR="00D81CEF" w:rsidRPr="00385E1B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8E2802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26104" w:rsidRPr="00385E1B" w:rsidRDefault="00D26104" w:rsidP="00391B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8E2802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огромните проблеми с милионите мигранти, независимо от „сделката” с Европейския съюз. </w:t>
      </w:r>
    </w:p>
    <w:p w:rsidR="00D26104" w:rsidRPr="00385E1B" w:rsidRDefault="008E2802" w:rsidP="00391B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Турция практически е в състояние на нарастващ по мащаби военен конфликт в югоизточната част на с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траната и част от приграничните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със Сирия райони. За сложността на обстановката </w:t>
      </w:r>
      <w:r w:rsidR="00BB2EA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допринася и фактът, че </w:t>
      </w:r>
      <w:r w:rsidR="00DB0B93" w:rsidRPr="00385E1B">
        <w:rPr>
          <w:rFonts w:ascii="Times New Roman" w:hAnsi="Times New Roman" w:cs="Times New Roman"/>
          <w:sz w:val="24"/>
          <w:szCs w:val="24"/>
          <w:lang w:val="bg-BG"/>
        </w:rPr>
        <w:t>страната</w:t>
      </w:r>
      <w:r w:rsidR="00BB2EA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е член на НАТО и съюзник на САЩ, които по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BB2EA0" w:rsidRPr="00385E1B">
        <w:rPr>
          <w:rFonts w:ascii="Times New Roman" w:hAnsi="Times New Roman" w:cs="Times New Roman"/>
          <w:sz w:val="24"/>
          <w:szCs w:val="24"/>
          <w:lang w:val="bg-BG"/>
        </w:rPr>
        <w:t>крепят северносирийските кюрди, а също и замр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B2EA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зените напълно отношения с Русия. Независимо 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BB2EA0" w:rsidRPr="00385E1B">
        <w:rPr>
          <w:rFonts w:ascii="Times New Roman" w:hAnsi="Times New Roman" w:cs="Times New Roman"/>
          <w:sz w:val="24"/>
          <w:szCs w:val="24"/>
          <w:lang w:val="bg-BG"/>
        </w:rPr>
        <w:t>т усложнената ситуация, следва да се отчита факта, че освен съсед по линия на НАТО</w:t>
      </w:r>
      <w:r w:rsidR="003A156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B2EA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страната е съюзник на България и участва в съвместните усилия по охрана на границите. Въпреки това политиката и за лидерство в арабско-мюсюлманския свят и региона включва и опити за намеса във вътрешните работи на България чрез и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зползване на хибридни способи (</w:t>
      </w:r>
      <w:r w:rsidR="00BB2EA0" w:rsidRPr="00385E1B">
        <w:rPr>
          <w:rFonts w:ascii="Times New Roman" w:hAnsi="Times New Roman" w:cs="Times New Roman"/>
          <w:sz w:val="24"/>
          <w:szCs w:val="24"/>
          <w:lang w:val="bg-BG"/>
        </w:rPr>
        <w:t>ислямистка пропаганда, медийно-провокативни изяви, активно присъствие в духовния живот на българските мюсюлмани) с възможни цели – създаване на етническа нетърпимост и вътрешна дестабилизация;</w:t>
      </w:r>
    </w:p>
    <w:p w:rsidR="00D26104" w:rsidRPr="00385E1B" w:rsidRDefault="00D26104" w:rsidP="00391B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B2EA0" w:rsidRPr="00385E1B" w:rsidRDefault="00BB2EA0" w:rsidP="00391BB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Нестабилното положение в някои страни от Западните Балкани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и в Гърция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в политически, икономически, </w:t>
      </w:r>
      <w:r w:rsidR="00F1229B" w:rsidRPr="00385E1B">
        <w:rPr>
          <w:rFonts w:ascii="Times New Roman" w:hAnsi="Times New Roman" w:cs="Times New Roman"/>
          <w:sz w:val="24"/>
          <w:szCs w:val="24"/>
          <w:lang w:val="bg-BG"/>
        </w:rPr>
        <w:t>религиозно-етнически пл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ан. О</w:t>
      </w:r>
      <w:r w:rsidR="00F1229B" w:rsidRPr="00385E1B">
        <w:rPr>
          <w:rFonts w:ascii="Times New Roman" w:hAnsi="Times New Roman" w:cs="Times New Roman"/>
          <w:sz w:val="24"/>
          <w:szCs w:val="24"/>
          <w:lang w:val="bg-BG"/>
        </w:rPr>
        <w:t>собено рязката дестабилизация в средата за сигурност от последните седмици в Македония с вероятност за дестабилизиране на обстановката по границите със съседни държави</w:t>
      </w:r>
      <w:r w:rsidR="002304E4" w:rsidRPr="00385E1B">
        <w:rPr>
          <w:rFonts w:ascii="Times New Roman" w:hAnsi="Times New Roman" w:cs="Times New Roman"/>
          <w:sz w:val="24"/>
          <w:szCs w:val="24"/>
          <w:lang w:val="bg-BG"/>
        </w:rPr>
        <w:t>, а възможно и на част от региона</w:t>
      </w:r>
      <w:r w:rsidR="00F1229B" w:rsidRPr="00385E1B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26104" w:rsidRPr="00385E1B" w:rsidRDefault="00D26104" w:rsidP="00391B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1229B" w:rsidRPr="00385E1B" w:rsidRDefault="00F1229B" w:rsidP="00391BB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Активната дейност на организацията „Ислямска държава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”, вкл. възможностите </w:t>
      </w:r>
      <w:r w:rsidR="003A1569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за ефективно използване на хибридни способи извън територията на Близкия Изток (в т.ч. страни от Европейския съюз), фронта „Джебхат ал Нусра” и други радикални ислямистки организации и групировки в Леванта и страните от Северна Африка. В тази връзка е необходимо да се посочи, че независимо от понесените загуби, </w:t>
      </w:r>
      <w:r w:rsidR="00655689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ИДИЛ (ДАЕШ)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продължава да завоюва позиции</w:t>
      </w:r>
      <w:r w:rsidR="00417C71" w:rsidRPr="00385E1B">
        <w:rPr>
          <w:rFonts w:ascii="Times New Roman" w:hAnsi="Times New Roman" w:cs="Times New Roman"/>
          <w:sz w:val="24"/>
          <w:szCs w:val="24"/>
          <w:lang w:val="bg-BG"/>
        </w:rPr>
        <w:t>, вкл. в А</w:t>
      </w:r>
      <w:r w:rsidR="000A1C13" w:rsidRPr="00385E1B">
        <w:rPr>
          <w:rFonts w:ascii="Times New Roman" w:hAnsi="Times New Roman" w:cs="Times New Roman"/>
          <w:sz w:val="24"/>
          <w:szCs w:val="24"/>
          <w:lang w:val="bg-BG"/>
        </w:rPr>
        <w:t>ф</w:t>
      </w:r>
      <w:r w:rsidR="00417C71" w:rsidRPr="00385E1B">
        <w:rPr>
          <w:rFonts w:ascii="Times New Roman" w:hAnsi="Times New Roman" w:cs="Times New Roman"/>
          <w:sz w:val="24"/>
          <w:szCs w:val="24"/>
          <w:lang w:val="bg-BG"/>
        </w:rPr>
        <w:t>ганистан и непрекъснато да увеличава влиянието си. През последните месеци организацията регулярно предислоцира свои контингенти предимно по море на територията на Либия</w:t>
      </w:r>
      <w:r w:rsidR="0070616F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и създава резервен оперативен район</w:t>
      </w:r>
      <w:r w:rsidR="00417C71" w:rsidRPr="00385E1B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0616F" w:rsidRPr="00385E1B" w:rsidRDefault="0070616F" w:rsidP="00391B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17C71" w:rsidRPr="00385E1B" w:rsidRDefault="00417C71" w:rsidP="00391BB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Устойчиво продължаващата активност на „Ал Кайда”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и нейните мрежи в почти всички оперативни райони за действие на организацията, особено в Сирия, както и нарасналите възможности на движението „Талибан” в А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ф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ганистан;</w:t>
      </w:r>
    </w:p>
    <w:p w:rsidR="00D26104" w:rsidRPr="00385E1B" w:rsidRDefault="00D26104" w:rsidP="00391B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17C71" w:rsidRPr="00385E1B" w:rsidRDefault="00417C71" w:rsidP="00391BB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Опити на организации като „ДАЕШ”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„Ал Кайда”</w:t>
      </w:r>
      <w:r w:rsidR="003A1569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насочени към придобиване и използване на оръжия за масово унищожение (ОМУ), в т.ч. и биологични </w:t>
      </w:r>
      <w:r w:rsidR="00687318" w:rsidRPr="00385E1B">
        <w:rPr>
          <w:rFonts w:ascii="Times New Roman" w:hAnsi="Times New Roman" w:cs="Times New Roman"/>
          <w:sz w:val="24"/>
          <w:szCs w:val="24"/>
          <w:lang w:val="bg-BG"/>
        </w:rPr>
        <w:t>такива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26104" w:rsidRPr="00385E1B" w:rsidRDefault="00D26104" w:rsidP="00391B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17C71" w:rsidRPr="00385E1B" w:rsidRDefault="00910C5B" w:rsidP="00391BB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Стремежът на страни от Близкия Изток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и района на Персийския залив (Иран, Саудитска Арабия, ОАЕ, Катар) да повлияват на събитията и претенциите им за водеща роля във военнополитическите процеси, особено силно милитаризиращата се политика на Саудитска Арабия през </w:t>
      </w:r>
      <w:r w:rsidR="00E25E31" w:rsidRPr="00385E1B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оследната година;</w:t>
      </w:r>
    </w:p>
    <w:p w:rsidR="00D26104" w:rsidRPr="00385E1B" w:rsidRDefault="00D26104" w:rsidP="00391B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10C5B" w:rsidRPr="00385E1B" w:rsidRDefault="00910C5B" w:rsidP="00391BB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Действията на Русия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и намеренията 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да бъде активен играч в ситуацията в Сирия и Източното Средиземноморие, независимо от заявеното в средата на март 2016 година решение за „изтегляне” на основната част от контингента въоръжени сили от Сирия. С присъствието си в региона и продължаващите военни операции Русия се превърна в незаобиколим фактор в Близкоизточните процеси и вероятно ще запази статуквото и в бъдещия период с геополитическа цел. Последното се потвърждава от заявеното от Вл. Путин: „Русия е в състояние да възобнови за часове мащабното си военно присъствие в региона”;</w:t>
      </w:r>
    </w:p>
    <w:p w:rsidR="00D26104" w:rsidRPr="00385E1B" w:rsidRDefault="00D26104" w:rsidP="00391B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5375E" w:rsidRPr="00385E1B" w:rsidRDefault="00E5375E" w:rsidP="00391BB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Кризата в Украйна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, която се оформя като територия на нов замразен конфликт и възможното размразяване и превръщане в „горещи” точки на съществуващи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lastRenderedPageBreak/>
        <w:t>към момента замразени конфликти в Приднестровието, Абхазия, Южна Осетия, Нагорни Карабах. Последният само преди седмици беше активиран.</w:t>
      </w:r>
    </w:p>
    <w:p w:rsidR="00F711CD" w:rsidRPr="00385E1B" w:rsidRDefault="00F711CD" w:rsidP="00391BB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5375E" w:rsidRPr="00385E1B" w:rsidRDefault="00E5375E" w:rsidP="00391BB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1.2. Вътрешни заплахи:</w:t>
      </w:r>
    </w:p>
    <w:p w:rsidR="00E5375E" w:rsidRPr="00385E1B" w:rsidRDefault="00E5375E" w:rsidP="00391BB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Въпреки, че в условията на глобализация националната сигурност не може да се „вмести” в рамките на територията на страната, приемаме, че рисковете и заплахите за вътрешната сигурност могат да се проявят предимно в приграничните райони</w:t>
      </w:r>
      <w:r w:rsidR="003D57F9" w:rsidRPr="00385E1B">
        <w:rPr>
          <w:rFonts w:ascii="Times New Roman" w:hAnsi="Times New Roman" w:cs="Times New Roman"/>
          <w:sz w:val="24"/>
          <w:szCs w:val="24"/>
          <w:lang w:val="bg-BG"/>
        </w:rPr>
        <w:t>, националната територия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3D57F9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тази на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обособените мисии 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в чужбина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. Като външна граница на ЕС и част от тази на НАТО, страната ни е натоварена с отговорности по граничната охрана на територии, около част от които протичат процеси, генериращи </w:t>
      </w:r>
      <w:r w:rsidR="001A400B" w:rsidRPr="00385E1B"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сигурност. </w:t>
      </w:r>
    </w:p>
    <w:p w:rsidR="0078015F" w:rsidRPr="00385E1B" w:rsidRDefault="0078015F" w:rsidP="00391BB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5375E" w:rsidRPr="00385E1B" w:rsidRDefault="00E5375E" w:rsidP="00391BB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Основните от тях могат да бъдат:</w:t>
      </w:r>
    </w:p>
    <w:p w:rsidR="00E5375E" w:rsidRPr="00385E1B" w:rsidRDefault="00E5375E" w:rsidP="00391B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Вълните на миграция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в следствие на посочените фактори</w:t>
      </w:r>
      <w:r w:rsidR="00DC4812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– генератори на несигурност и нестихващите и постоянно възобновяващи се конфликти, въпреки „споразумени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ята за прекратяване на огъня” (</w:t>
      </w:r>
      <w:r w:rsidR="00DC4812" w:rsidRPr="00385E1B">
        <w:rPr>
          <w:rFonts w:ascii="Times New Roman" w:hAnsi="Times New Roman" w:cs="Times New Roman"/>
          <w:sz w:val="24"/>
          <w:szCs w:val="24"/>
          <w:lang w:val="bg-BG"/>
        </w:rPr>
        <w:t>Алепо – Сирия – втората половина на април 2016 година). Трудноконтролируемото придвижване на потоци мигранти главно от районите на БИСА, Ирак и Афганистан породиха явлението „мигрантски натиск” с всичките му негативни последствия върху сигурността на редица страни в Европа и на Балканите, особено на съседните на България страни – Гърция и Македония.</w:t>
      </w:r>
    </w:p>
    <w:p w:rsidR="00DC4812" w:rsidRPr="00385E1B" w:rsidRDefault="00DC4812" w:rsidP="00391BB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Независи</w:t>
      </w:r>
      <w:r w:rsidR="003B2881" w:rsidRPr="00385E1B">
        <w:rPr>
          <w:rFonts w:ascii="Times New Roman" w:hAnsi="Times New Roman" w:cs="Times New Roman"/>
          <w:sz w:val="24"/>
          <w:szCs w:val="24"/>
          <w:lang w:val="bg-BG"/>
        </w:rPr>
        <w:t>мо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от обявеното в началото на този месец „затваряне” на т. нар. 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Балкански маршрут</w:t>
      </w:r>
      <w:r w:rsidR="00D26104" w:rsidRPr="00385E1B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за миграция и поетите от Турция задължения за сдържане и контрол, рискът за страната ни е реален, вкл.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епидемиологимен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такъв. От втората поло</w:t>
      </w:r>
      <w:r w:rsidR="003B2881" w:rsidRPr="00385E1B">
        <w:rPr>
          <w:rFonts w:ascii="Times New Roman" w:hAnsi="Times New Roman" w:cs="Times New Roman"/>
          <w:sz w:val="24"/>
          <w:szCs w:val="24"/>
          <w:lang w:val="bg-BG"/>
        </w:rPr>
        <w:t>вина на април 2016 година нарас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на и вероятността за промяна на направленията на част</w:t>
      </w:r>
      <w:r w:rsidR="00F15005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от мигрантските потоци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през границите на България.</w:t>
      </w:r>
      <w:r w:rsidR="00745B21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Според 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>последното изявление на турския</w:t>
      </w:r>
      <w:r w:rsidR="00745B21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външен министър Чавушоглу при определени условия, отнасящи се до безвизов режим за турски граждани за Европа, Турция може едностранно да прекрати споразумението с ЕС.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Изключително трудно и неефективно се прилага и известното като „квотно заселване” на мигранти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въпреки постигнатите </w:t>
      </w:r>
      <w:r w:rsidR="00745B21" w:rsidRPr="00385E1B">
        <w:rPr>
          <w:rFonts w:ascii="Times New Roman" w:hAnsi="Times New Roman" w:cs="Times New Roman"/>
          <w:sz w:val="24"/>
          <w:szCs w:val="24"/>
          <w:lang w:val="bg-BG"/>
        </w:rPr>
        <w:t>договорености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15005" w:rsidRPr="00385E1B" w:rsidRDefault="00F15005" w:rsidP="00391BB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4812" w:rsidRPr="00385E1B" w:rsidRDefault="002B22AE" w:rsidP="00391B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Действията на групи на трансграничната организирана престъпност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. Наред с наркотрафика, контрабандата с оръжия и боеприпаси, с нарастващата активност и във връзка с миграционните потоци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се проявява и споменатото вече незаконно превеждане на хора през граници – организирана престъпна дейност, придобила известност като „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каналджийство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” и пре</w:t>
      </w:r>
      <w:r w:rsidR="00F15005" w:rsidRPr="00385E1B">
        <w:rPr>
          <w:rFonts w:ascii="Times New Roman" w:hAnsi="Times New Roman" w:cs="Times New Roman"/>
          <w:sz w:val="24"/>
          <w:szCs w:val="24"/>
          <w:lang w:val="bg-BG"/>
        </w:rPr>
        <w:t>върнала се в доходоносен бизнес;</w:t>
      </w:r>
    </w:p>
    <w:p w:rsidR="00F15005" w:rsidRPr="00385E1B" w:rsidRDefault="00F15005" w:rsidP="00391BB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22AE" w:rsidRPr="00385E1B" w:rsidRDefault="002B22AE" w:rsidP="00391B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Проявите на вътрешен тероризъм и действията на терористите „вълци-единаци”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– граждани на европейски държави, често пъти самомотивирали се под въздействието на радикални идеи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проникнали отвън;</w:t>
      </w:r>
    </w:p>
    <w:p w:rsidR="00F15005" w:rsidRPr="00385E1B" w:rsidRDefault="00F15005" w:rsidP="00391BB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22AE" w:rsidRPr="00385E1B" w:rsidRDefault="002B22AE" w:rsidP="00391B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Набиращата скорост киберпрестъпност</w:t>
      </w:r>
      <w:r w:rsidR="00F15005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стремежът и възможностите на организирани престъпни и терористични групи да я използват за постигане на решителни цели.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„Кибер</w:t>
      </w:r>
      <w:r w:rsidR="0059088E" w:rsidRPr="00385E1B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картата</w:t>
      </w:r>
      <w:r w:rsidR="000A1399" w:rsidRPr="00385E1B"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на Бъ</w:t>
      </w:r>
      <w:r w:rsidR="000A1399" w:rsidRPr="00385E1B">
        <w:rPr>
          <w:rFonts w:ascii="Times New Roman" w:hAnsi="Times New Roman" w:cs="Times New Roman"/>
          <w:sz w:val="24"/>
          <w:szCs w:val="24"/>
          <w:lang w:val="bg-BG"/>
        </w:rPr>
        <w:t>лгария показва, че страната ни е уязвима за кибератаки, особено в частта компютърни системи за управление на критичната инфраструктура (транспортна, енергийна, икономическа, военна, управленско-административна и др.);</w:t>
      </w:r>
    </w:p>
    <w:p w:rsidR="00F15005" w:rsidRPr="00385E1B" w:rsidRDefault="00F15005" w:rsidP="00391BB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A1399" w:rsidRPr="00385E1B" w:rsidRDefault="000A1399" w:rsidP="00391B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Възможностите за радикализация на отделни групи от българското общество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под влиянието на ултраконсервативни идеологии и противопоставяне на етническа и религиозна основа. Проучвания на изследователски центрове и неправителствени организации показват, че към пролетта на 2016 година е налице тенденция към одобрение на радикализъм и дори симпатизиране на терористични организации като ДАЕШ в средите на макар и неголяма част от българските мюсюлмани, при това предимно млади хора. От друга страна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нарастват антимигран</w:t>
      </w:r>
      <w:r w:rsidR="00F15005" w:rsidRPr="00385E1B">
        <w:rPr>
          <w:rFonts w:ascii="Times New Roman" w:hAnsi="Times New Roman" w:cs="Times New Roman"/>
          <w:sz w:val="24"/>
          <w:szCs w:val="24"/>
          <w:lang w:val="bg-BG"/>
        </w:rPr>
        <w:t>тските настроения и прояви с организиран характер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на националистическа основа и в </w:t>
      </w:r>
      <w:r w:rsidR="00F15005" w:rsidRPr="00385E1B">
        <w:rPr>
          <w:rFonts w:ascii="Times New Roman" w:hAnsi="Times New Roman" w:cs="Times New Roman"/>
          <w:sz w:val="24"/>
          <w:szCs w:val="24"/>
          <w:lang w:val="bg-BG"/>
        </w:rPr>
        <w:t>разрез със законите на България;</w:t>
      </w:r>
    </w:p>
    <w:p w:rsidR="00F15005" w:rsidRPr="00385E1B" w:rsidRDefault="00F15005" w:rsidP="00391BB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660B7" w:rsidRPr="00385E1B" w:rsidRDefault="008660B7" w:rsidP="00391B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Рискове и заплахи за енергийната и икономическа сигурност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на страната. Предвид недостига на собствени енергоносители и зависимостта ни от тях, тези рискове могат да бъдат оценени като реални, относително устойчиви във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lastRenderedPageBreak/>
        <w:t>времето и повлиявани от ситуацията и промените в глобален и регионален мащаб;</w:t>
      </w:r>
    </w:p>
    <w:p w:rsidR="00F15005" w:rsidRPr="00385E1B" w:rsidRDefault="00F15005" w:rsidP="00391BB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660B7" w:rsidRPr="00385E1B" w:rsidRDefault="008660B7" w:rsidP="00391B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Рискове за екологията, природната среда и хората,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свързани с въздействието от климатичните промени и природни бедствия</w:t>
      </w:r>
      <w:r w:rsidR="00F15005" w:rsidRPr="00385E1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катастрофални земетресения, наводнения, крупни производствени аварии;</w:t>
      </w:r>
    </w:p>
    <w:p w:rsidR="00F15005" w:rsidRPr="00385E1B" w:rsidRDefault="00F15005" w:rsidP="00391BB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660B7" w:rsidRPr="00385E1B" w:rsidRDefault="008660B7" w:rsidP="00391B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Като фактор, който в сериозна степен формира риск за националната сигурност с дългосрочен ефект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следва да се посочи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демографската криза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, чието трайно задълбочаване неминуемо води до гибелни за нацията последствия;</w:t>
      </w:r>
    </w:p>
    <w:p w:rsidR="00F15005" w:rsidRPr="00385E1B" w:rsidRDefault="00F15005" w:rsidP="00391BB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660B7" w:rsidRPr="00385E1B" w:rsidRDefault="008660B7" w:rsidP="00391BB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Риск, който генерира заплаха за вътрешната сигурност и е съотносим към организирана</w:t>
      </w:r>
      <w:r w:rsidR="00F15005" w:rsidRPr="00385E1B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престъпност е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корупцията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, особено по високите нива на управлението на държавата. </w:t>
      </w:r>
    </w:p>
    <w:p w:rsidR="0078015F" w:rsidRPr="00385E1B" w:rsidRDefault="0078015F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C58D0" w:rsidRPr="00385E1B" w:rsidRDefault="008660B7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Посочените рискове и заплахи </w:t>
      </w:r>
      <w:r w:rsidR="00CC58D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от двете основни групи са с различна степен на интензитет и е възможно да се проявяват </w:t>
      </w:r>
      <w:r w:rsidR="00BD71C5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CC58D0" w:rsidRPr="00385E1B">
        <w:rPr>
          <w:rFonts w:ascii="Times New Roman" w:hAnsi="Times New Roman" w:cs="Times New Roman"/>
          <w:sz w:val="24"/>
          <w:szCs w:val="24"/>
          <w:lang w:val="bg-BG"/>
        </w:rPr>
        <w:t>комбинирано.</w:t>
      </w:r>
    </w:p>
    <w:p w:rsidR="000A1399" w:rsidRPr="00385E1B" w:rsidRDefault="00CC58D0" w:rsidP="00391BB7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Извод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от оценката на средата за сигурност към края на месец април 2016 година</w:t>
      </w:r>
      <w:r w:rsidR="000A1399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динамична, напрегната, рязко влошена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от есента на 2015 година с тенденция за усложняв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>ане в бъдещ период под въздейств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ие на посочените и други фактори. Като непосредствени и реални към момента могат да се определят рисковете и заплахите за сигурността вследствие на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тероризъм, мигрантски натиск, ограничени и мащабни военни конфликти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, както и тези за 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етническата, религиозна и киберсигурност.</w:t>
      </w:r>
    </w:p>
    <w:p w:rsidR="00CC58D0" w:rsidRPr="00385E1B" w:rsidRDefault="00CC58D0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Актуалността на тези (особено мигрантския натиск) и част от посочените други рискове и заплахи</w:t>
      </w:r>
      <w:r w:rsidR="00033D0D" w:rsidRPr="00385E1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вероятно ще се съхрани </w:t>
      </w:r>
      <w:r w:rsidR="00033D0D" w:rsidRPr="00385E1B">
        <w:rPr>
          <w:rFonts w:ascii="Times New Roman" w:hAnsi="Times New Roman" w:cs="Times New Roman"/>
          <w:sz w:val="24"/>
          <w:szCs w:val="24"/>
          <w:lang w:val="bg-BG"/>
        </w:rPr>
        <w:t>до края на тази година</w:t>
      </w:r>
      <w:r w:rsidR="003306D0" w:rsidRPr="00385E1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033D0D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765400" w:rsidRPr="00385E1B">
        <w:rPr>
          <w:rFonts w:ascii="Times New Roman" w:hAnsi="Times New Roman" w:cs="Times New Roman"/>
          <w:sz w:val="24"/>
          <w:szCs w:val="24"/>
          <w:lang w:val="bg-BG"/>
        </w:rPr>
        <w:t>средносрочен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, възможно </w:t>
      </w:r>
      <w:r w:rsidR="0076540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в дългосрочен план, което само потвърждава необходимостта от приемане и прилагане на ефективни политики за противодействие и </w:t>
      </w:r>
      <w:r w:rsidR="00765400" w:rsidRPr="00385E1B">
        <w:rPr>
          <w:rFonts w:ascii="Times New Roman" w:hAnsi="Times New Roman" w:cs="Times New Roman"/>
          <w:sz w:val="24"/>
          <w:szCs w:val="24"/>
          <w:lang w:val="bg-BG"/>
        </w:rPr>
        <w:t>адекватен отговор.</w:t>
      </w:r>
    </w:p>
    <w:p w:rsidR="00765400" w:rsidRPr="00385E1B" w:rsidRDefault="00765400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 тази връзка провежданата днес конференция </w:t>
      </w:r>
      <w:r w:rsidR="00DC0844" w:rsidRPr="00385E1B">
        <w:rPr>
          <w:rFonts w:ascii="Times New Roman" w:hAnsi="Times New Roman" w:cs="Times New Roman"/>
          <w:sz w:val="24"/>
          <w:szCs w:val="24"/>
          <w:lang w:val="bg-BG"/>
        </w:rPr>
        <w:t>и възможностите за дискусия по перспективите за убежище и миграция в европейски и национален контекст е</w:t>
      </w:r>
      <w:r w:rsidR="006277B3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изключително навременна и полезна.</w:t>
      </w:r>
    </w:p>
    <w:p w:rsidR="0078015F" w:rsidRPr="00385E1B" w:rsidRDefault="0078015F" w:rsidP="00391BB7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7106C" w:rsidRPr="00385E1B" w:rsidRDefault="00E7106C" w:rsidP="00391BB7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="006E4261" w:rsidRPr="00385E1B">
        <w:rPr>
          <w:rFonts w:ascii="Times New Roman" w:hAnsi="Times New Roman" w:cs="Times New Roman"/>
          <w:b/>
          <w:sz w:val="24"/>
          <w:szCs w:val="24"/>
          <w:lang w:val="bg-BG"/>
        </w:rPr>
        <w:t>Хибридните войни: същност и измерения</w:t>
      </w:r>
    </w:p>
    <w:p w:rsidR="006E4261" w:rsidRPr="00385E1B" w:rsidRDefault="006E4261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Без каквито и да е претенции за изчерпателност по темата „хибридни” войни или пък за авторство на определения за явлението, намираме, че съчетанието </w:t>
      </w:r>
      <w:r w:rsidR="00424257" w:rsidRPr="00385E1B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хибридният характер на войните</w:t>
      </w:r>
      <w:r w:rsidR="00424257" w:rsidRPr="00385E1B"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изобщо е онова, което би могло да послужи за разкриване на същността на понятието. </w:t>
      </w:r>
    </w:p>
    <w:p w:rsidR="006E4261" w:rsidRPr="00385E1B" w:rsidRDefault="006E4261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Терминът „хибридна” война влезе в широка употреба от военни, политици, журналисти и експерти най-вече около събитията по анексирането на Крим от Русия и продължава да се свързва предимно с войната (невойната) на „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зелените човечета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” – анонимни бойци и бойна техника без отличителни знаци за принадлежност към военни сили на определена държава. </w:t>
      </w:r>
    </w:p>
    <w:p w:rsidR="006E4261" w:rsidRPr="00385E1B" w:rsidRDefault="006E4261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Всъщност „</w:t>
      </w: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хибридната” война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, или по-скоро хибридните способи за водене на война</w:t>
      </w:r>
      <w:r w:rsidR="006F080E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не са измислени в Русия, а водят началото си далеч назад във времето. Дори бегъл поглед в световната военна история дава основание за твърдението, че повечето известни ни войни са съчетание от различни способи, похвати, форми и тактики за водене на война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F080E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прилагани успоредно, последователно или самостоятелно.</w:t>
      </w:r>
    </w:p>
    <w:p w:rsidR="006F080E" w:rsidRPr="00385E1B" w:rsidRDefault="006F080E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Достатъчно е да споменем неконвенционалните способи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съчетавани с чисто военни от войни като (според легендата – Троянската), войните на Римската империя, двете </w:t>
      </w:r>
      <w:r w:rsidR="00917CA2" w:rsidRPr="00385E1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ветовни, войн</w:t>
      </w:r>
      <w:r w:rsidR="00917CA2" w:rsidRPr="00385E1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917CA2" w:rsidRPr="00385E1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във Виетнам, Студената война, Ливан, Грузия – 2008 г., Украйна, Крим, Либия, Сирия, войната на глобалните терористи и особено на Ислямска държава на няколко фронта.</w:t>
      </w:r>
    </w:p>
    <w:p w:rsidR="006F080E" w:rsidRPr="00385E1B" w:rsidRDefault="006F080E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В теоретичен аспект, първият опит за научно обяснение на явлението е в САЩ през 2008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г. на база изследване на последната война в Ливан (2006</w:t>
      </w:r>
      <w:r w:rsidR="00670BC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г.), с особено внимание на действията на паравоенни организации и групи (милиции) и използваните от тях съчетания от различни способи и похвати.</w:t>
      </w:r>
      <w:r w:rsidR="00532040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Специалистите от САЩ определат тези формирования като „недържавни актьори”.</w:t>
      </w:r>
    </w:p>
    <w:p w:rsidR="00532040" w:rsidRPr="00385E1B" w:rsidRDefault="00532040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Приблизително по същото време пак в САЩ, но вече по задание на Конгреса, Пентагонът подготвя визия относно възможностите на вероятни противници на САЩ да използват хибридни способи за водене на война в бъдещ период, с цел планиране на ефективно противодействие.</w:t>
      </w:r>
    </w:p>
    <w:p w:rsidR="00532040" w:rsidRPr="00385E1B" w:rsidRDefault="00532040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Въпреки високото ниво терминът „хибридна” война не намира място в официалната нормативна уредба на американските въоръжени сили с малко изключение – прегледа на отбраната на САЩ – 2010 година.</w:t>
      </w:r>
    </w:p>
    <w:p w:rsidR="00532040" w:rsidRPr="00385E1B" w:rsidRDefault="00532040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Четири години по-късно преди и по</w:t>
      </w:r>
      <w:r w:rsidR="00186268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време на срещата на върха на НАТО в Уелс за първи път се обръща по-сериозно внимание на термина „хибридна” война, главно на чисто военните аспекти.</w:t>
      </w:r>
    </w:p>
    <w:p w:rsidR="00532040" w:rsidRPr="00385E1B" w:rsidRDefault="00532040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У нас повлияно от резултатите от срещата в Уелс терминът намира, макар и скромно място в преработения вариант на „Визия 2020”. На </w:t>
      </w:r>
      <w:r w:rsidR="00A21468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сериозно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аналитично ниво „хибридната” война е изследвана от Центъра за стратегически изследвания в сигурността и международните отношения (автор и директор С. Николов). </w:t>
      </w:r>
    </w:p>
    <w:p w:rsidR="00532040" w:rsidRPr="00385E1B" w:rsidRDefault="00532040" w:rsidP="00391BB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2.1. Възможни определения</w:t>
      </w:r>
      <w:r w:rsidR="00DA1916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за „хибридната” война</w:t>
      </w:r>
      <w:r w:rsidR="00F5556C" w:rsidRPr="00385E1B">
        <w:rPr>
          <w:rFonts w:ascii="Times New Roman" w:hAnsi="Times New Roman" w:cs="Times New Roman"/>
          <w:sz w:val="24"/>
          <w:szCs w:val="24"/>
          <w:lang w:val="bg-BG"/>
        </w:rPr>
        <w:t>/хибридния характер на войните:</w:t>
      </w:r>
    </w:p>
    <w:p w:rsidR="00F5556C" w:rsidRPr="00385E1B" w:rsidRDefault="00F5556C" w:rsidP="00391B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Неконвенционална война;</w:t>
      </w:r>
    </w:p>
    <w:p w:rsidR="00F5556C" w:rsidRPr="00385E1B" w:rsidRDefault="00F5556C" w:rsidP="00391BB7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Модерна война, обединяваща конвенционалната с</w:t>
      </w:r>
      <w:r w:rsidR="00A21468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„гореща”;</w:t>
      </w:r>
    </w:p>
    <w:p w:rsidR="00F5556C" w:rsidRPr="00385E1B" w:rsidRDefault="00F5556C" w:rsidP="00391B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Високот</w:t>
      </w:r>
      <w:r w:rsidR="00A21468" w:rsidRPr="00385E1B">
        <w:rPr>
          <w:rFonts w:ascii="Times New Roman" w:hAnsi="Times New Roman" w:cs="Times New Roman"/>
          <w:sz w:val="24"/>
          <w:szCs w:val="24"/>
          <w:lang w:val="bg-BG"/>
        </w:rPr>
        <w:t>ех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нологична война;</w:t>
      </w:r>
    </w:p>
    <w:p w:rsidR="00F5556C" w:rsidRPr="00385E1B" w:rsidRDefault="00F5556C" w:rsidP="00391B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Етап от конвенционалната война;</w:t>
      </w:r>
    </w:p>
    <w:p w:rsidR="00F5556C" w:rsidRPr="00385E1B" w:rsidRDefault="00F5556C" w:rsidP="00391B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Война от ново поколение;</w:t>
      </w:r>
    </w:p>
    <w:p w:rsidR="00F5556C" w:rsidRPr="00385E1B" w:rsidRDefault="00F5556C" w:rsidP="00391B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Съчетание от разл</w:t>
      </w:r>
      <w:r w:rsidR="00B2166F" w:rsidRPr="00385E1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чни способи, форми и тактики за водене на война;</w:t>
      </w:r>
    </w:p>
    <w:p w:rsidR="00F5556C" w:rsidRPr="00385E1B" w:rsidRDefault="00F5556C" w:rsidP="00391BB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Тотална война.</w:t>
      </w:r>
    </w:p>
    <w:p w:rsidR="00F5556C" w:rsidRPr="00385E1B" w:rsidRDefault="00F5556C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       2.2. </w:t>
      </w:r>
      <w:r w:rsidR="00B2166F" w:rsidRPr="00385E1B">
        <w:rPr>
          <w:rFonts w:ascii="Times New Roman" w:hAnsi="Times New Roman" w:cs="Times New Roman"/>
          <w:sz w:val="24"/>
          <w:szCs w:val="24"/>
          <w:lang w:val="bg-BG"/>
        </w:rPr>
        <w:t>Възможни с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пособи за водене на „хибридната” война.</w:t>
      </w:r>
    </w:p>
    <w:p w:rsidR="00F5556C" w:rsidRPr="00385E1B" w:rsidRDefault="00F5556C" w:rsidP="00391B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Разузнаване, контраразузнаване;</w:t>
      </w:r>
    </w:p>
    <w:p w:rsidR="00F5556C" w:rsidRPr="00385E1B" w:rsidRDefault="00F5556C" w:rsidP="00391B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Оперативно проникване;</w:t>
      </w:r>
    </w:p>
    <w:p w:rsidR="00F5556C" w:rsidRPr="00385E1B" w:rsidRDefault="00F5556C" w:rsidP="00391BB7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Информационни, дезинформационни, контрадезинформационни;</w:t>
      </w:r>
    </w:p>
    <w:p w:rsidR="00F5556C" w:rsidRPr="00385E1B" w:rsidRDefault="00F5556C" w:rsidP="00391B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Идеологически;</w:t>
      </w:r>
    </w:p>
    <w:p w:rsidR="00F5556C" w:rsidRPr="00385E1B" w:rsidRDefault="00F5556C" w:rsidP="00391B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Пропага</w:t>
      </w:r>
      <w:r w:rsidR="00EC47C1" w:rsidRPr="00385E1B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дни;</w:t>
      </w:r>
    </w:p>
    <w:p w:rsidR="00F5556C" w:rsidRPr="00385E1B" w:rsidRDefault="00F5556C" w:rsidP="00391B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Психологическо въздействие;</w:t>
      </w:r>
    </w:p>
    <w:p w:rsidR="00F5556C" w:rsidRPr="00385E1B" w:rsidRDefault="00F5556C" w:rsidP="00391B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lastRenderedPageBreak/>
        <w:t>Демонстрационно-показни;</w:t>
      </w:r>
    </w:p>
    <w:p w:rsidR="00F5556C" w:rsidRPr="00385E1B" w:rsidRDefault="00F5556C" w:rsidP="00391B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Преднамерено насочване на мигрантски потоци;</w:t>
      </w:r>
    </w:p>
    <w:p w:rsidR="00F5556C" w:rsidRPr="00385E1B" w:rsidRDefault="00F5556C" w:rsidP="00391B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Някои видове тероризъм (технологичен, религиозно м</w:t>
      </w:r>
      <w:r w:rsidR="00104D40" w:rsidRPr="00385E1B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тиви</w:t>
      </w:r>
      <w:r w:rsidR="00104D40" w:rsidRPr="00385E1B">
        <w:rPr>
          <w:rFonts w:ascii="Times New Roman" w:hAnsi="Times New Roman" w:cs="Times New Roman"/>
          <w:sz w:val="24"/>
          <w:szCs w:val="24"/>
          <w:lang w:val="bg-BG"/>
        </w:rPr>
        <w:t>ра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н, децентрализиран, енергиен, самоубийствен).</w:t>
      </w:r>
    </w:p>
    <w:p w:rsidR="00F5556C" w:rsidRPr="00385E1B" w:rsidRDefault="00F5556C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b/>
          <w:sz w:val="24"/>
          <w:szCs w:val="24"/>
          <w:lang w:val="bg-BG"/>
        </w:rPr>
        <w:t>В заключение: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измеренията на „хибридната” война са от</w:t>
      </w:r>
      <w:r w:rsidR="005F62D5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>местно към регионално и глобално ниво</w:t>
      </w:r>
      <w:r w:rsidR="005F62D5" w:rsidRPr="00385E1B">
        <w:rPr>
          <w:rFonts w:ascii="Times New Roman" w:hAnsi="Times New Roman" w:cs="Times New Roman"/>
          <w:sz w:val="24"/>
          <w:szCs w:val="24"/>
          <w:lang w:val="bg-BG"/>
        </w:rPr>
        <w:t>, а действията могат да бъдат насочени към постигане на цели от тактически до стратегически мащаб, които да променят (модифицират) политическа ситуация в държави или региони</w:t>
      </w:r>
      <w:r w:rsidR="0029302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F62D5"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вкл. чрез създаване на условия за повлияване на развитието на обществени, политически и/или икономически процеси.</w:t>
      </w:r>
    </w:p>
    <w:p w:rsidR="005F62D5" w:rsidRPr="00385E1B" w:rsidRDefault="002C18EA" w:rsidP="00391B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i/>
          <w:sz w:val="24"/>
          <w:szCs w:val="24"/>
          <w:lang w:val="bg-BG"/>
        </w:rPr>
        <w:t>В конкретика</w:t>
      </w:r>
      <w:r w:rsidR="005F62D5" w:rsidRPr="00385E1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въпросите по проблема са намерили място в презентацията към настоящия доклад.</w:t>
      </w:r>
    </w:p>
    <w:p w:rsidR="00B45C59" w:rsidRPr="00385E1B" w:rsidRDefault="00B45C59" w:rsidP="00391B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002F0" w:rsidRPr="00385E1B" w:rsidRDefault="001002F0" w:rsidP="001002F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5E1B">
        <w:rPr>
          <w:rFonts w:ascii="Times New Roman" w:hAnsi="Times New Roman" w:cs="Times New Roman"/>
          <w:sz w:val="24"/>
          <w:szCs w:val="24"/>
          <w:lang w:val="bg-BG"/>
        </w:rPr>
        <w:t>* Авторът на доклада е експерт по сигурността и борбата с тероризма, университетски преподавател и зам. Директор на Център</w:t>
      </w:r>
      <w:r w:rsidR="0041444E" w:rsidRPr="00385E1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385E1B">
        <w:rPr>
          <w:rFonts w:ascii="Times New Roman" w:hAnsi="Times New Roman" w:cs="Times New Roman"/>
          <w:sz w:val="24"/>
          <w:szCs w:val="24"/>
          <w:lang w:val="bg-BG"/>
        </w:rPr>
        <w:t xml:space="preserve"> за близкоизточни изследвания</w:t>
      </w:r>
      <w:r w:rsidR="009B5BBD" w:rsidRPr="00385E1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sectPr w:rsidR="001002F0" w:rsidRPr="00385E1B" w:rsidSect="0065689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5E" w:rsidRDefault="00FC1F5E" w:rsidP="00DD7F06">
      <w:pPr>
        <w:spacing w:after="0" w:line="240" w:lineRule="auto"/>
      </w:pPr>
      <w:r>
        <w:separator/>
      </w:r>
    </w:p>
  </w:endnote>
  <w:endnote w:type="continuationSeparator" w:id="0">
    <w:p w:rsidR="00FC1F5E" w:rsidRDefault="00FC1F5E" w:rsidP="00DD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6449"/>
      <w:docPartObj>
        <w:docPartGallery w:val="Page Numbers (Bottom of Page)"/>
        <w:docPartUnique/>
      </w:docPartObj>
    </w:sdtPr>
    <w:sdtEndPr/>
    <w:sdtContent>
      <w:p w:rsidR="006D68B8" w:rsidRDefault="006113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C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68B8" w:rsidRDefault="006D68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5E" w:rsidRDefault="00FC1F5E" w:rsidP="00DD7F06">
      <w:pPr>
        <w:spacing w:after="0" w:line="240" w:lineRule="auto"/>
      </w:pPr>
      <w:r>
        <w:separator/>
      </w:r>
    </w:p>
  </w:footnote>
  <w:footnote w:type="continuationSeparator" w:id="0">
    <w:p w:rsidR="00FC1F5E" w:rsidRDefault="00FC1F5E" w:rsidP="00DD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EBE"/>
    <w:multiLevelType w:val="hybridMultilevel"/>
    <w:tmpl w:val="3558ED1E"/>
    <w:lvl w:ilvl="0" w:tplc="08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12B55F89"/>
    <w:multiLevelType w:val="hybridMultilevel"/>
    <w:tmpl w:val="47D88D9C"/>
    <w:lvl w:ilvl="0" w:tplc="28ACB082">
      <w:start w:val="1"/>
      <w:numFmt w:val="decimal"/>
      <w:lvlText w:val="(%1)"/>
      <w:lvlJc w:val="left"/>
      <w:pPr>
        <w:ind w:left="6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CA8197A"/>
    <w:multiLevelType w:val="hybridMultilevel"/>
    <w:tmpl w:val="D44C0234"/>
    <w:lvl w:ilvl="0" w:tplc="C4B4BBB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1455"/>
    <w:multiLevelType w:val="hybridMultilevel"/>
    <w:tmpl w:val="5CAA57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C493D"/>
    <w:multiLevelType w:val="hybridMultilevel"/>
    <w:tmpl w:val="84648480"/>
    <w:lvl w:ilvl="0" w:tplc="0809000B">
      <w:start w:val="1"/>
      <w:numFmt w:val="bullet"/>
      <w:lvlText w:val=""/>
      <w:lvlJc w:val="left"/>
      <w:pPr>
        <w:ind w:left="22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5" w15:restartNumberingAfterBreak="0">
    <w:nsid w:val="46A270B0"/>
    <w:multiLevelType w:val="hybridMultilevel"/>
    <w:tmpl w:val="2AE62DE8"/>
    <w:lvl w:ilvl="0" w:tplc="64E4F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07407"/>
    <w:multiLevelType w:val="hybridMultilevel"/>
    <w:tmpl w:val="E1B810A4"/>
    <w:lvl w:ilvl="0" w:tplc="08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5FA176A2"/>
    <w:multiLevelType w:val="hybridMultilevel"/>
    <w:tmpl w:val="10EEF9B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D767B1"/>
    <w:multiLevelType w:val="hybridMultilevel"/>
    <w:tmpl w:val="C976680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741020"/>
    <w:multiLevelType w:val="hybridMultilevel"/>
    <w:tmpl w:val="FC061B38"/>
    <w:lvl w:ilvl="0" w:tplc="618813B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32ADB"/>
    <w:multiLevelType w:val="hybridMultilevel"/>
    <w:tmpl w:val="9EDE3A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40"/>
    <w:rsid w:val="00001264"/>
    <w:rsid w:val="00033D0D"/>
    <w:rsid w:val="000A1399"/>
    <w:rsid w:val="000A1C13"/>
    <w:rsid w:val="000C09EC"/>
    <w:rsid w:val="001002F0"/>
    <w:rsid w:val="00104D40"/>
    <w:rsid w:val="0014085A"/>
    <w:rsid w:val="00186268"/>
    <w:rsid w:val="001A400B"/>
    <w:rsid w:val="001B1B2A"/>
    <w:rsid w:val="001B2908"/>
    <w:rsid w:val="001D0161"/>
    <w:rsid w:val="001E0A82"/>
    <w:rsid w:val="002304E4"/>
    <w:rsid w:val="00244CC4"/>
    <w:rsid w:val="002529F6"/>
    <w:rsid w:val="00266CFF"/>
    <w:rsid w:val="00293024"/>
    <w:rsid w:val="002B22AE"/>
    <w:rsid w:val="002C18EA"/>
    <w:rsid w:val="003306D0"/>
    <w:rsid w:val="00360F24"/>
    <w:rsid w:val="00385E1B"/>
    <w:rsid w:val="00391BB7"/>
    <w:rsid w:val="003942C3"/>
    <w:rsid w:val="003A00EF"/>
    <w:rsid w:val="003A1569"/>
    <w:rsid w:val="003B2881"/>
    <w:rsid w:val="003D57F9"/>
    <w:rsid w:val="0041444E"/>
    <w:rsid w:val="00417C71"/>
    <w:rsid w:val="00424257"/>
    <w:rsid w:val="00443CDF"/>
    <w:rsid w:val="00502290"/>
    <w:rsid w:val="00512526"/>
    <w:rsid w:val="00532040"/>
    <w:rsid w:val="005351E4"/>
    <w:rsid w:val="0059088E"/>
    <w:rsid w:val="00593B5A"/>
    <w:rsid w:val="005D60BF"/>
    <w:rsid w:val="005F62D5"/>
    <w:rsid w:val="006113B1"/>
    <w:rsid w:val="006277B3"/>
    <w:rsid w:val="00627877"/>
    <w:rsid w:val="00655689"/>
    <w:rsid w:val="00656894"/>
    <w:rsid w:val="00670BC6"/>
    <w:rsid w:val="00677BDB"/>
    <w:rsid w:val="00687318"/>
    <w:rsid w:val="006B2933"/>
    <w:rsid w:val="006D68B8"/>
    <w:rsid w:val="006D6A58"/>
    <w:rsid w:val="006E4261"/>
    <w:rsid w:val="006F080E"/>
    <w:rsid w:val="0070616F"/>
    <w:rsid w:val="00745B21"/>
    <w:rsid w:val="00765400"/>
    <w:rsid w:val="0078015F"/>
    <w:rsid w:val="00784665"/>
    <w:rsid w:val="007A3F2A"/>
    <w:rsid w:val="007B3C4C"/>
    <w:rsid w:val="008660B7"/>
    <w:rsid w:val="008E2802"/>
    <w:rsid w:val="00910C5B"/>
    <w:rsid w:val="00917CA2"/>
    <w:rsid w:val="00975F44"/>
    <w:rsid w:val="009B5BBD"/>
    <w:rsid w:val="00A21468"/>
    <w:rsid w:val="00B06DDD"/>
    <w:rsid w:val="00B2166F"/>
    <w:rsid w:val="00B45C59"/>
    <w:rsid w:val="00BB2E40"/>
    <w:rsid w:val="00BB2EA0"/>
    <w:rsid w:val="00BD71C5"/>
    <w:rsid w:val="00BE1CE9"/>
    <w:rsid w:val="00C7274C"/>
    <w:rsid w:val="00CA4342"/>
    <w:rsid w:val="00CC58D0"/>
    <w:rsid w:val="00D26104"/>
    <w:rsid w:val="00D570B8"/>
    <w:rsid w:val="00D74F72"/>
    <w:rsid w:val="00D81CEF"/>
    <w:rsid w:val="00DA1916"/>
    <w:rsid w:val="00DB0B93"/>
    <w:rsid w:val="00DC0844"/>
    <w:rsid w:val="00DC4812"/>
    <w:rsid w:val="00DD7F06"/>
    <w:rsid w:val="00E053D1"/>
    <w:rsid w:val="00E25E31"/>
    <w:rsid w:val="00E33642"/>
    <w:rsid w:val="00E5375E"/>
    <w:rsid w:val="00E7106C"/>
    <w:rsid w:val="00EC47C1"/>
    <w:rsid w:val="00EE6F99"/>
    <w:rsid w:val="00F1229B"/>
    <w:rsid w:val="00F15005"/>
    <w:rsid w:val="00F30F4C"/>
    <w:rsid w:val="00F5556C"/>
    <w:rsid w:val="00F711CD"/>
    <w:rsid w:val="00F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1C2A1-3637-41F3-BBB0-DA4641EC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7F06"/>
  </w:style>
  <w:style w:type="paragraph" w:styleId="Footer">
    <w:name w:val="footer"/>
    <w:basedOn w:val="Normal"/>
    <w:link w:val="FooterChar"/>
    <w:uiPriority w:val="99"/>
    <w:unhideWhenUsed/>
    <w:rsid w:val="00DD7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D7C9-AD21-4DB3-9F5B-D852B7B1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Lili Stankova</cp:lastModifiedBy>
  <cp:revision>2</cp:revision>
  <dcterms:created xsi:type="dcterms:W3CDTF">2017-01-11T13:34:00Z</dcterms:created>
  <dcterms:modified xsi:type="dcterms:W3CDTF">2017-01-11T13:34:00Z</dcterms:modified>
</cp:coreProperties>
</file>