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523" w:rsidRPr="004B4D19" w:rsidRDefault="00AA6743" w:rsidP="007C3967">
      <w:pPr>
        <w:tabs>
          <w:tab w:val="left" w:pos="2268"/>
        </w:tabs>
      </w:pPr>
      <w:r w:rsidRPr="004B4D19">
        <w:rPr>
          <w:noProof/>
        </w:rPr>
        <w:drawing>
          <wp:anchor distT="0" distB="0" distL="114300" distR="114300" simplePos="0" relativeHeight="251656192" behindDoc="0" locked="0" layoutInCell="0" allowOverlap="1" wp14:anchorId="755C00EC" wp14:editId="659C5C5C">
            <wp:simplePos x="0" y="0"/>
            <wp:positionH relativeFrom="column">
              <wp:posOffset>114300</wp:posOffset>
            </wp:positionH>
            <wp:positionV relativeFrom="paragraph">
              <wp:posOffset>-41910</wp:posOffset>
            </wp:positionV>
            <wp:extent cx="1798320" cy="1532255"/>
            <wp:effectExtent l="19050" t="0" r="0" b="0"/>
            <wp:wrapTopAndBottom/>
            <wp:docPr id="2" name="Picture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pic:cNvPicPr>
                      <a:picLocks noChangeAspect="1" noChangeArrowheads="1"/>
                    </pic:cNvPicPr>
                  </pic:nvPicPr>
                  <pic:blipFill>
                    <a:blip r:embed="rId8"/>
                    <a:srcRect/>
                    <a:stretch>
                      <a:fillRect/>
                    </a:stretch>
                  </pic:blipFill>
                  <pic:spPr bwMode="auto">
                    <a:xfrm>
                      <a:off x="0" y="0"/>
                      <a:ext cx="1798320" cy="1532255"/>
                    </a:xfrm>
                    <a:prstGeom prst="rect">
                      <a:avLst/>
                    </a:prstGeom>
                    <a:noFill/>
                  </pic:spPr>
                </pic:pic>
              </a:graphicData>
            </a:graphic>
          </wp:anchor>
        </w:drawing>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6230"/>
      </w:tblGrid>
      <w:tr w:rsidR="00C12523" w:rsidRPr="004B4D19">
        <w:tc>
          <w:tcPr>
            <w:tcW w:w="0" w:type="auto"/>
          </w:tcPr>
          <w:p w:rsidR="00C12523" w:rsidRPr="004B4D19" w:rsidRDefault="004476E1" w:rsidP="00DF08CC">
            <w:pPr>
              <w:pStyle w:val="NoSpacing"/>
              <w:rPr>
                <w:rFonts w:ascii="Times New Roman" w:hAnsi="Times New Roman"/>
                <w:b/>
                <w:sz w:val="72"/>
                <w:szCs w:val="72"/>
              </w:rPr>
            </w:pPr>
            <w:r>
              <w:rPr>
                <w:rFonts w:ascii="Times New Roman" w:hAnsi="Times New Roman"/>
                <w:b/>
                <w:sz w:val="72"/>
                <w:szCs w:val="72"/>
                <w:lang w:val="bg-BG"/>
              </w:rPr>
              <w:t>ШЕСТ</w:t>
            </w:r>
            <w:r w:rsidR="001D1300" w:rsidRPr="004B4D19">
              <w:rPr>
                <w:rFonts w:ascii="Times New Roman" w:hAnsi="Times New Roman"/>
                <w:b/>
                <w:sz w:val="72"/>
                <w:szCs w:val="72"/>
                <w:lang w:val="bg-BG"/>
              </w:rPr>
              <w:t xml:space="preserve">МЕСЕЧЕН </w:t>
            </w:r>
            <w:r w:rsidR="00DF08CC" w:rsidRPr="004B4D19">
              <w:rPr>
                <w:rFonts w:ascii="Times New Roman" w:hAnsi="Times New Roman"/>
                <w:b/>
                <w:sz w:val="72"/>
                <w:szCs w:val="72"/>
                <w:lang w:val="bg-BG"/>
              </w:rPr>
              <w:t>ОТЧЕТ</w:t>
            </w:r>
            <w:r w:rsidR="00C12523" w:rsidRPr="004B4D19">
              <w:rPr>
                <w:rFonts w:ascii="Times New Roman" w:hAnsi="Times New Roman"/>
                <w:b/>
                <w:sz w:val="72"/>
                <w:szCs w:val="72"/>
                <w:lang w:val="bg-BG"/>
              </w:rPr>
              <w:t xml:space="preserve"> </w:t>
            </w:r>
          </w:p>
        </w:tc>
      </w:tr>
      <w:tr w:rsidR="00C12523" w:rsidRPr="004B4D19">
        <w:tc>
          <w:tcPr>
            <w:tcW w:w="0" w:type="auto"/>
          </w:tcPr>
          <w:p w:rsidR="00C12523" w:rsidRPr="004B4D19" w:rsidRDefault="00C12523" w:rsidP="000B4FD2">
            <w:pPr>
              <w:pStyle w:val="NoSpacing"/>
              <w:rPr>
                <w:rFonts w:ascii="Times New Roman" w:hAnsi="Times New Roman"/>
                <w:b/>
                <w:sz w:val="40"/>
                <w:szCs w:val="40"/>
              </w:rPr>
            </w:pPr>
            <w:r w:rsidRPr="004B4D19">
              <w:rPr>
                <w:rFonts w:ascii="Times New Roman" w:hAnsi="Times New Roman"/>
                <w:b/>
                <w:sz w:val="40"/>
                <w:szCs w:val="40"/>
                <w:lang w:val="bg-BG"/>
              </w:rPr>
              <w:t>НА КОМИСИЯТА ПО ПОМИЛВАНЕ</w:t>
            </w:r>
          </w:p>
        </w:tc>
      </w:tr>
      <w:tr w:rsidR="00C12523" w:rsidRPr="004B4D19">
        <w:tc>
          <w:tcPr>
            <w:tcW w:w="0" w:type="auto"/>
          </w:tcPr>
          <w:p w:rsidR="00C12523" w:rsidRPr="004B4D19" w:rsidRDefault="001D1300" w:rsidP="00555EFE">
            <w:pPr>
              <w:pStyle w:val="NoSpacing"/>
              <w:rPr>
                <w:rFonts w:ascii="Times New Roman" w:hAnsi="Times New Roman"/>
                <w:b/>
                <w:sz w:val="28"/>
                <w:szCs w:val="28"/>
                <w:lang w:val="bg-BG"/>
              </w:rPr>
            </w:pPr>
            <w:r w:rsidRPr="004B4D19">
              <w:rPr>
                <w:rFonts w:ascii="Times New Roman" w:hAnsi="Times New Roman"/>
                <w:b/>
                <w:sz w:val="28"/>
                <w:szCs w:val="28"/>
                <w:lang w:val="bg-BG"/>
              </w:rPr>
              <w:t>23</w:t>
            </w:r>
            <w:r w:rsidR="00DF08CC" w:rsidRPr="004B4D19">
              <w:rPr>
                <w:rFonts w:ascii="Times New Roman" w:hAnsi="Times New Roman"/>
                <w:b/>
                <w:sz w:val="28"/>
                <w:szCs w:val="28"/>
                <w:lang w:val="bg-BG"/>
              </w:rPr>
              <w:t xml:space="preserve"> </w:t>
            </w:r>
            <w:r w:rsidRPr="004B4D19">
              <w:rPr>
                <w:rFonts w:ascii="Times New Roman" w:hAnsi="Times New Roman"/>
                <w:b/>
                <w:sz w:val="28"/>
                <w:szCs w:val="28"/>
                <w:lang w:val="bg-BG"/>
              </w:rPr>
              <w:t>ЯНУАРИ</w:t>
            </w:r>
            <w:r w:rsidR="0022080A" w:rsidRPr="004B4D19">
              <w:rPr>
                <w:rFonts w:ascii="Times New Roman" w:hAnsi="Times New Roman"/>
                <w:b/>
                <w:sz w:val="28"/>
                <w:szCs w:val="28"/>
                <w:lang w:val="bg-BG"/>
              </w:rPr>
              <w:t xml:space="preserve"> </w:t>
            </w:r>
            <w:r w:rsidR="002F23FE" w:rsidRPr="004B4D19">
              <w:rPr>
                <w:rFonts w:ascii="Times New Roman" w:hAnsi="Times New Roman"/>
                <w:b/>
                <w:sz w:val="28"/>
                <w:szCs w:val="28"/>
                <w:lang w:val="bg-BG"/>
              </w:rPr>
              <w:t xml:space="preserve"> –</w:t>
            </w:r>
            <w:r w:rsidR="00921B9B" w:rsidRPr="004B4D19">
              <w:rPr>
                <w:rFonts w:ascii="Times New Roman" w:hAnsi="Times New Roman"/>
                <w:b/>
                <w:sz w:val="28"/>
                <w:szCs w:val="28"/>
                <w:lang w:val="bg-BG"/>
              </w:rPr>
              <w:t xml:space="preserve"> </w:t>
            </w:r>
            <w:r w:rsidR="009E52B3">
              <w:rPr>
                <w:rFonts w:ascii="Times New Roman" w:hAnsi="Times New Roman"/>
                <w:b/>
                <w:sz w:val="28"/>
                <w:szCs w:val="28"/>
                <w:lang w:val="bg-BG"/>
              </w:rPr>
              <w:t>31</w:t>
            </w:r>
            <w:r w:rsidR="00DF08CC" w:rsidRPr="004B4D19">
              <w:rPr>
                <w:rFonts w:ascii="Times New Roman" w:hAnsi="Times New Roman"/>
                <w:b/>
                <w:sz w:val="28"/>
                <w:szCs w:val="28"/>
                <w:lang w:val="bg-BG"/>
              </w:rPr>
              <w:t xml:space="preserve"> </w:t>
            </w:r>
            <w:r w:rsidR="00555EFE">
              <w:rPr>
                <w:rFonts w:ascii="Times New Roman" w:hAnsi="Times New Roman"/>
                <w:b/>
                <w:sz w:val="28"/>
                <w:szCs w:val="28"/>
                <w:lang w:val="bg-BG"/>
              </w:rPr>
              <w:t>АВГУСТ</w:t>
            </w:r>
            <w:r w:rsidR="00555EFE" w:rsidRPr="004B4D19">
              <w:rPr>
                <w:rFonts w:ascii="Times New Roman" w:hAnsi="Times New Roman"/>
                <w:b/>
                <w:sz w:val="28"/>
                <w:szCs w:val="28"/>
                <w:lang w:val="bg-BG"/>
              </w:rPr>
              <w:t xml:space="preserve"> </w:t>
            </w:r>
            <w:r w:rsidR="002F23FE" w:rsidRPr="004B4D19">
              <w:rPr>
                <w:rFonts w:ascii="Times New Roman" w:hAnsi="Times New Roman"/>
                <w:b/>
                <w:sz w:val="28"/>
                <w:szCs w:val="28"/>
                <w:lang w:val="bg-BG"/>
              </w:rPr>
              <w:t>201</w:t>
            </w:r>
            <w:r w:rsidR="00CC51D9" w:rsidRPr="004B4D19">
              <w:rPr>
                <w:rFonts w:ascii="Times New Roman" w:hAnsi="Times New Roman"/>
                <w:b/>
                <w:sz w:val="28"/>
                <w:szCs w:val="28"/>
                <w:lang w:val="bg-BG"/>
              </w:rPr>
              <w:t>7</w:t>
            </w:r>
            <w:r w:rsidR="00DF08CC" w:rsidRPr="004B4D19">
              <w:rPr>
                <w:rFonts w:ascii="Times New Roman" w:hAnsi="Times New Roman"/>
                <w:b/>
                <w:sz w:val="28"/>
                <w:szCs w:val="28"/>
                <w:lang w:val="bg-BG"/>
              </w:rPr>
              <w:t xml:space="preserve"> </w:t>
            </w:r>
            <w:r w:rsidR="002F23FE" w:rsidRPr="004B4D19">
              <w:rPr>
                <w:rFonts w:ascii="Times New Roman" w:hAnsi="Times New Roman"/>
                <w:b/>
                <w:sz w:val="28"/>
                <w:szCs w:val="28"/>
                <w:lang w:val="bg-BG"/>
              </w:rPr>
              <w:t>г.</w:t>
            </w:r>
          </w:p>
        </w:tc>
      </w:tr>
    </w:tbl>
    <w:p w:rsidR="00C12523" w:rsidRPr="004B4D19" w:rsidRDefault="007B3481" w:rsidP="000B4FD2">
      <w:pPr>
        <w:rPr>
          <w:sz w:val="26"/>
          <w:szCs w:val="26"/>
        </w:rPr>
      </w:pPr>
      <w:r w:rsidRPr="004B4D19">
        <w:rPr>
          <w:sz w:val="26"/>
          <w:szCs w:val="26"/>
        </w:rPr>
        <w:t>Администрация на п</w:t>
      </w:r>
      <w:r w:rsidR="00C12523" w:rsidRPr="004B4D19">
        <w:rPr>
          <w:sz w:val="26"/>
          <w:szCs w:val="26"/>
        </w:rPr>
        <w:t>резидента</w:t>
      </w: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B019DE" w:rsidRPr="004B4D19" w:rsidRDefault="00B019DE" w:rsidP="00B019DE">
      <w:pP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C12523" w:rsidP="000B4FD2">
      <w:pPr>
        <w:jc w:val="center"/>
        <w:rPr>
          <w:sz w:val="26"/>
          <w:szCs w:val="26"/>
        </w:rPr>
      </w:pPr>
    </w:p>
    <w:p w:rsidR="00C12523" w:rsidRPr="004B4D19" w:rsidRDefault="001F67EB" w:rsidP="001F67EB">
      <w:pPr>
        <w:ind w:left="708" w:firstLine="708"/>
        <w:rPr>
          <w:b/>
          <w:sz w:val="26"/>
          <w:szCs w:val="26"/>
        </w:rPr>
      </w:pPr>
      <w:r w:rsidRPr="004B4D19">
        <w:rPr>
          <w:b/>
          <w:sz w:val="26"/>
          <w:szCs w:val="26"/>
        </w:rPr>
        <w:t>СЪДЪРЖАНИЕ:</w:t>
      </w:r>
    </w:p>
    <w:p w:rsidR="001F67EB" w:rsidRPr="004B4D19" w:rsidRDefault="001F67EB" w:rsidP="001F67EB">
      <w:pPr>
        <w:pStyle w:val="ListParagraph"/>
        <w:ind w:left="1776"/>
        <w:rPr>
          <w:sz w:val="26"/>
          <w:szCs w:val="26"/>
        </w:rPr>
      </w:pPr>
    </w:p>
    <w:p w:rsidR="00921B9B" w:rsidRPr="004B4D19" w:rsidRDefault="001F67EB" w:rsidP="00921B9B">
      <w:pPr>
        <w:pStyle w:val="ListParagraph"/>
        <w:numPr>
          <w:ilvl w:val="0"/>
          <w:numId w:val="25"/>
        </w:numPr>
        <w:rPr>
          <w:b/>
          <w:sz w:val="26"/>
          <w:szCs w:val="26"/>
        </w:rPr>
      </w:pPr>
      <w:r w:rsidRPr="004B4D19">
        <w:rPr>
          <w:b/>
          <w:sz w:val="26"/>
          <w:szCs w:val="26"/>
        </w:rPr>
        <w:t>Дейност по разглеждане на молби за помилване</w:t>
      </w:r>
      <w:r w:rsidR="00921B9B" w:rsidRPr="004B4D19">
        <w:rPr>
          <w:b/>
          <w:sz w:val="26"/>
          <w:szCs w:val="26"/>
        </w:rPr>
        <w:t xml:space="preserve"> и статистически данни</w:t>
      </w:r>
    </w:p>
    <w:p w:rsidR="004E3DBD" w:rsidRPr="004B4D19" w:rsidRDefault="004E3DBD" w:rsidP="004E3DBD">
      <w:pPr>
        <w:pStyle w:val="ListParagraph"/>
        <w:rPr>
          <w:b/>
          <w:sz w:val="26"/>
          <w:szCs w:val="26"/>
        </w:rPr>
      </w:pPr>
    </w:p>
    <w:p w:rsidR="0022080A" w:rsidRDefault="004E3DBD" w:rsidP="00921B9B">
      <w:pPr>
        <w:pStyle w:val="ListParagraph"/>
        <w:numPr>
          <w:ilvl w:val="0"/>
          <w:numId w:val="25"/>
        </w:numPr>
        <w:rPr>
          <w:b/>
          <w:sz w:val="26"/>
          <w:szCs w:val="26"/>
        </w:rPr>
      </w:pPr>
      <w:r w:rsidRPr="004B4D19">
        <w:rPr>
          <w:b/>
          <w:sz w:val="26"/>
          <w:szCs w:val="26"/>
        </w:rPr>
        <w:t>Практика на Комисията по помилването</w:t>
      </w:r>
    </w:p>
    <w:p w:rsidR="00B812EB" w:rsidRPr="004B4D19" w:rsidRDefault="00B812EB" w:rsidP="00B812EB">
      <w:pPr>
        <w:pStyle w:val="ListParagraph"/>
        <w:numPr>
          <w:ilvl w:val="1"/>
          <w:numId w:val="25"/>
        </w:numPr>
        <w:ind w:left="2610"/>
        <w:rPr>
          <w:sz w:val="26"/>
          <w:szCs w:val="26"/>
        </w:rPr>
      </w:pPr>
      <w:r w:rsidRPr="004B4D19">
        <w:rPr>
          <w:sz w:val="26"/>
          <w:szCs w:val="26"/>
        </w:rPr>
        <w:t>Предложения за прекратяване на разглеждането</w:t>
      </w:r>
    </w:p>
    <w:p w:rsidR="00B812EB" w:rsidRPr="004B4D19" w:rsidRDefault="00B812EB" w:rsidP="00B812EB">
      <w:pPr>
        <w:pStyle w:val="ListParagraph"/>
        <w:numPr>
          <w:ilvl w:val="1"/>
          <w:numId w:val="25"/>
        </w:numPr>
        <w:tabs>
          <w:tab w:val="left" w:pos="2610"/>
        </w:tabs>
        <w:ind w:left="2610"/>
        <w:rPr>
          <w:sz w:val="26"/>
          <w:szCs w:val="26"/>
        </w:rPr>
      </w:pPr>
      <w:r w:rsidRPr="004B4D19">
        <w:rPr>
          <w:sz w:val="26"/>
          <w:szCs w:val="26"/>
        </w:rPr>
        <w:t>Предложения за отказ от упражняване на правото на помилване</w:t>
      </w:r>
    </w:p>
    <w:p w:rsidR="00B812EB" w:rsidRPr="004B4D19" w:rsidRDefault="00B812EB" w:rsidP="00B812EB">
      <w:pPr>
        <w:pStyle w:val="ListParagraph"/>
        <w:numPr>
          <w:ilvl w:val="1"/>
          <w:numId w:val="25"/>
        </w:numPr>
        <w:tabs>
          <w:tab w:val="left" w:pos="2610"/>
        </w:tabs>
        <w:ind w:left="2610"/>
        <w:rPr>
          <w:sz w:val="26"/>
          <w:szCs w:val="26"/>
        </w:rPr>
      </w:pPr>
      <w:r w:rsidRPr="004B4D19">
        <w:rPr>
          <w:sz w:val="26"/>
          <w:szCs w:val="26"/>
        </w:rPr>
        <w:t>Предложения за помилване</w:t>
      </w:r>
    </w:p>
    <w:p w:rsidR="00B812EB" w:rsidRPr="00B812EB" w:rsidRDefault="00B812EB" w:rsidP="00B812EB">
      <w:pPr>
        <w:pStyle w:val="ListParagraph"/>
        <w:rPr>
          <w:b/>
          <w:sz w:val="26"/>
          <w:szCs w:val="26"/>
        </w:rPr>
      </w:pPr>
    </w:p>
    <w:p w:rsidR="00B812EB" w:rsidRPr="004B4D19" w:rsidRDefault="00B812EB" w:rsidP="00921B9B">
      <w:pPr>
        <w:pStyle w:val="ListParagraph"/>
        <w:numPr>
          <w:ilvl w:val="0"/>
          <w:numId w:val="25"/>
        </w:numPr>
        <w:rPr>
          <w:b/>
          <w:sz w:val="26"/>
          <w:szCs w:val="26"/>
        </w:rPr>
      </w:pPr>
      <w:r>
        <w:rPr>
          <w:b/>
          <w:sz w:val="26"/>
          <w:szCs w:val="26"/>
        </w:rPr>
        <w:t>Наблюдения, изводи и препоръки на Комисията</w:t>
      </w:r>
    </w:p>
    <w:p w:rsidR="004E3DBD" w:rsidRPr="004B4D19" w:rsidRDefault="004E3DBD" w:rsidP="004E3DBD">
      <w:pPr>
        <w:pStyle w:val="ListParagraph"/>
        <w:ind w:left="1776"/>
        <w:rPr>
          <w:b/>
          <w:sz w:val="26"/>
          <w:szCs w:val="26"/>
        </w:rPr>
      </w:pPr>
    </w:p>
    <w:p w:rsidR="004E3DBD" w:rsidRPr="004B4D19" w:rsidRDefault="004E3DBD" w:rsidP="004E3DBD">
      <w:pPr>
        <w:pStyle w:val="ListParagraph"/>
        <w:tabs>
          <w:tab w:val="left" w:pos="2610"/>
        </w:tabs>
        <w:ind w:left="2610"/>
        <w:rPr>
          <w:sz w:val="26"/>
          <w:szCs w:val="26"/>
        </w:rPr>
      </w:pPr>
    </w:p>
    <w:p w:rsidR="00C3577A" w:rsidRPr="004B4D19" w:rsidRDefault="00C3577A" w:rsidP="00C3577A">
      <w:pPr>
        <w:rPr>
          <w:sz w:val="20"/>
          <w:szCs w:val="20"/>
        </w:rPr>
      </w:pPr>
    </w:p>
    <w:p w:rsidR="00C3577A" w:rsidRPr="004B4D19" w:rsidRDefault="00C3577A" w:rsidP="00C3577A">
      <w:pPr>
        <w:rPr>
          <w:sz w:val="20"/>
          <w:szCs w:val="20"/>
        </w:rPr>
      </w:pPr>
    </w:p>
    <w:p w:rsidR="00BC55F9" w:rsidRPr="004B4D19" w:rsidRDefault="00BC55F9" w:rsidP="00C3577A">
      <w:pPr>
        <w:jc w:val="center"/>
        <w:rPr>
          <w:sz w:val="20"/>
          <w:szCs w:val="20"/>
        </w:rPr>
      </w:pPr>
    </w:p>
    <w:p w:rsidR="004B1E22" w:rsidRPr="004B4D19" w:rsidRDefault="004B1E22" w:rsidP="00C3577A">
      <w:pPr>
        <w:jc w:val="center"/>
        <w:rPr>
          <w:sz w:val="20"/>
          <w:szCs w:val="20"/>
        </w:rPr>
      </w:pPr>
    </w:p>
    <w:p w:rsidR="00DF08CC" w:rsidRPr="004B4D19" w:rsidRDefault="00DF08CC" w:rsidP="00C3577A">
      <w:pPr>
        <w:jc w:val="center"/>
        <w:rPr>
          <w:sz w:val="20"/>
          <w:szCs w:val="20"/>
        </w:rPr>
      </w:pPr>
    </w:p>
    <w:p w:rsidR="00DF08CC" w:rsidRPr="004B4D19" w:rsidRDefault="00DF08CC" w:rsidP="00C3577A">
      <w:pPr>
        <w:jc w:val="center"/>
        <w:rPr>
          <w:sz w:val="20"/>
          <w:szCs w:val="20"/>
        </w:rPr>
      </w:pPr>
    </w:p>
    <w:p w:rsidR="00DF08CC" w:rsidRPr="004B4D19" w:rsidRDefault="00DF08CC" w:rsidP="00C3577A">
      <w:pPr>
        <w:jc w:val="center"/>
        <w:rPr>
          <w:sz w:val="20"/>
          <w:szCs w:val="20"/>
        </w:rPr>
      </w:pPr>
    </w:p>
    <w:p w:rsidR="00DF08CC" w:rsidRPr="004B4D19" w:rsidRDefault="00DF08CC" w:rsidP="00C3577A">
      <w:pPr>
        <w:jc w:val="center"/>
        <w:rPr>
          <w:sz w:val="20"/>
          <w:szCs w:val="20"/>
        </w:rPr>
      </w:pPr>
    </w:p>
    <w:p w:rsidR="00DF08CC" w:rsidRPr="004B4D19" w:rsidRDefault="00DF08CC" w:rsidP="00C3577A">
      <w:pPr>
        <w:jc w:val="center"/>
        <w:rPr>
          <w:sz w:val="20"/>
          <w:szCs w:val="20"/>
        </w:rPr>
      </w:pPr>
    </w:p>
    <w:p w:rsidR="00BC55F9" w:rsidRPr="004B4D19" w:rsidRDefault="00BC55F9" w:rsidP="00C3577A">
      <w:pPr>
        <w:jc w:val="center"/>
        <w:rPr>
          <w:sz w:val="20"/>
          <w:szCs w:val="20"/>
        </w:rPr>
      </w:pPr>
    </w:p>
    <w:p w:rsidR="00330DBD" w:rsidRPr="004B4D19" w:rsidRDefault="00C12523" w:rsidP="001D1300">
      <w:pPr>
        <w:jc w:val="center"/>
        <w:rPr>
          <w:b/>
          <w:sz w:val="28"/>
          <w:szCs w:val="28"/>
        </w:rPr>
      </w:pPr>
      <w:r w:rsidRPr="004B4D19">
        <w:rPr>
          <w:sz w:val="20"/>
          <w:szCs w:val="20"/>
        </w:rPr>
        <w:t>На основание чл. 7(4) от Правилата за ра</w:t>
      </w:r>
      <w:r w:rsidR="00F251F1" w:rsidRPr="004B4D19">
        <w:rPr>
          <w:sz w:val="20"/>
          <w:szCs w:val="20"/>
        </w:rPr>
        <w:t>бота на Комисията по помилване</w:t>
      </w:r>
      <w:r w:rsidRPr="004B4D19">
        <w:rPr>
          <w:sz w:val="20"/>
          <w:szCs w:val="20"/>
        </w:rPr>
        <w:t xml:space="preserve"> (ПРКП),</w:t>
      </w:r>
      <w:r w:rsidR="001D1300" w:rsidRPr="004B4D19">
        <w:rPr>
          <w:sz w:val="20"/>
          <w:szCs w:val="20"/>
        </w:rPr>
        <w:t xml:space="preserve"> </w:t>
      </w:r>
      <w:r w:rsidRPr="004B4D19">
        <w:rPr>
          <w:sz w:val="20"/>
          <w:szCs w:val="20"/>
        </w:rPr>
        <w:t xml:space="preserve">утвърдени с Указ № </w:t>
      </w:r>
      <w:r w:rsidR="00F251F1" w:rsidRPr="004B4D19">
        <w:rPr>
          <w:sz w:val="20"/>
          <w:szCs w:val="20"/>
          <w:lang w:val="en-US"/>
        </w:rPr>
        <w:t>78</w:t>
      </w:r>
      <w:r w:rsidRPr="004B4D19">
        <w:rPr>
          <w:sz w:val="20"/>
          <w:szCs w:val="20"/>
        </w:rPr>
        <w:t>/</w:t>
      </w:r>
      <w:r w:rsidR="00F251F1" w:rsidRPr="004B4D19">
        <w:rPr>
          <w:sz w:val="20"/>
          <w:szCs w:val="20"/>
          <w:lang w:val="en-US"/>
        </w:rPr>
        <w:t>0</w:t>
      </w:r>
      <w:r w:rsidRPr="004B4D19">
        <w:rPr>
          <w:sz w:val="20"/>
          <w:szCs w:val="20"/>
        </w:rPr>
        <w:t>3.02.201</w:t>
      </w:r>
      <w:r w:rsidR="00F251F1" w:rsidRPr="004B4D19">
        <w:rPr>
          <w:sz w:val="20"/>
          <w:szCs w:val="20"/>
          <w:lang w:val="en-US"/>
        </w:rPr>
        <w:t>7</w:t>
      </w:r>
      <w:r w:rsidRPr="004B4D19">
        <w:rPr>
          <w:sz w:val="20"/>
          <w:szCs w:val="20"/>
        </w:rPr>
        <w:t xml:space="preserve"> г. на Президента на Република България</w:t>
      </w:r>
      <w:r w:rsidR="004B1E22" w:rsidRPr="004B4D19">
        <w:rPr>
          <w:b/>
          <w:sz w:val="28"/>
          <w:szCs w:val="28"/>
        </w:rPr>
        <w:br w:type="page"/>
      </w:r>
    </w:p>
    <w:p w:rsidR="003E2F37" w:rsidRPr="004B4D19" w:rsidRDefault="003E2F37" w:rsidP="00957699">
      <w:pPr>
        <w:jc w:val="center"/>
        <w:rPr>
          <w:b/>
          <w:sz w:val="28"/>
          <w:szCs w:val="28"/>
        </w:rPr>
      </w:pPr>
    </w:p>
    <w:p w:rsidR="00A86172" w:rsidRPr="004B4D19" w:rsidRDefault="008B2CAA" w:rsidP="00957699">
      <w:pPr>
        <w:jc w:val="center"/>
        <w:rPr>
          <w:sz w:val="20"/>
          <w:szCs w:val="20"/>
        </w:rPr>
      </w:pPr>
      <w:r>
        <w:rPr>
          <w:b/>
          <w:sz w:val="28"/>
          <w:szCs w:val="28"/>
        </w:rPr>
        <w:t>1</w:t>
      </w:r>
      <w:r w:rsidR="009D21D2" w:rsidRPr="004B4D19">
        <w:rPr>
          <w:b/>
          <w:sz w:val="28"/>
          <w:szCs w:val="28"/>
        </w:rPr>
        <w:t>. </w:t>
      </w:r>
      <w:r w:rsidR="00A86172" w:rsidRPr="004B4D19">
        <w:rPr>
          <w:b/>
          <w:sz w:val="28"/>
          <w:szCs w:val="28"/>
        </w:rPr>
        <w:t>ДЕЙНОСТ ПО РАЗГЛЕЖДАНЕ НА МОЛБИ ЗА ПОМИЛВАНЕ</w:t>
      </w:r>
    </w:p>
    <w:p w:rsidR="002A6283" w:rsidRPr="004B4D19" w:rsidRDefault="002A6283" w:rsidP="002A6283">
      <w:pPr>
        <w:ind w:firstLine="708"/>
        <w:jc w:val="both"/>
        <w:rPr>
          <w:sz w:val="16"/>
          <w:szCs w:val="16"/>
        </w:rPr>
      </w:pPr>
    </w:p>
    <w:p w:rsidR="00330DBD" w:rsidRPr="004B4D19" w:rsidRDefault="00A92F1A" w:rsidP="005C32AF">
      <w:pPr>
        <w:pStyle w:val="ListParagraph"/>
        <w:ind w:left="0" w:firstLine="708"/>
        <w:jc w:val="both"/>
        <w:rPr>
          <w:lang w:val="en-US"/>
        </w:rPr>
      </w:pPr>
      <w:r w:rsidRPr="004B4D19">
        <w:t>През</w:t>
      </w:r>
      <w:r w:rsidR="00B43B4C" w:rsidRPr="004B4D19">
        <w:tab/>
      </w:r>
      <w:r w:rsidR="00F251F1" w:rsidRPr="004B4D19">
        <w:t>първото</w:t>
      </w:r>
      <w:r w:rsidR="00B43B4C" w:rsidRPr="004B4D19">
        <w:t xml:space="preserve"> </w:t>
      </w:r>
      <w:r w:rsidR="00B812EB">
        <w:t>полугодие</w:t>
      </w:r>
      <w:r w:rsidR="003301BC" w:rsidRPr="004B4D19">
        <w:t xml:space="preserve"> </w:t>
      </w:r>
      <w:r w:rsidR="00F251F1" w:rsidRPr="004B4D19">
        <w:t xml:space="preserve">от настоящия президентски мандат </w:t>
      </w:r>
      <w:r w:rsidR="00CC5208" w:rsidRPr="004B4D19">
        <w:t xml:space="preserve">в </w:t>
      </w:r>
      <w:r w:rsidR="003301BC" w:rsidRPr="004B4D19">
        <w:t xml:space="preserve">Комисията </w:t>
      </w:r>
      <w:r w:rsidR="00CC5208" w:rsidRPr="004B4D19">
        <w:t xml:space="preserve">са постъпили общо </w:t>
      </w:r>
      <w:r w:rsidR="000C5D8A">
        <w:t>369</w:t>
      </w:r>
      <w:r w:rsidR="00CC5208" w:rsidRPr="004B4D19">
        <w:t xml:space="preserve"> молби</w:t>
      </w:r>
      <w:r w:rsidR="007B3481" w:rsidRPr="004B4D19">
        <w:rPr>
          <w:rStyle w:val="FootnoteReference"/>
          <w:sz w:val="19"/>
          <w:szCs w:val="19"/>
        </w:rPr>
        <w:footnoteReference w:id="1"/>
      </w:r>
      <w:r w:rsidR="00CC5208" w:rsidRPr="004B4D19">
        <w:t xml:space="preserve">. </w:t>
      </w:r>
      <w:r w:rsidR="00AD3876" w:rsidRPr="004B4D19">
        <w:t>Комисията</w:t>
      </w:r>
      <w:r w:rsidR="00CC5208" w:rsidRPr="004B4D19">
        <w:t xml:space="preserve"> </w:t>
      </w:r>
      <w:r w:rsidR="003301BC" w:rsidRPr="004B4D19">
        <w:t xml:space="preserve">е провела </w:t>
      </w:r>
      <w:r w:rsidR="000C5D8A">
        <w:rPr>
          <w:b/>
        </w:rPr>
        <w:t>18</w:t>
      </w:r>
      <w:r w:rsidR="003301BC" w:rsidRPr="004B4D19">
        <w:rPr>
          <w:b/>
        </w:rPr>
        <w:t xml:space="preserve"> заседания</w:t>
      </w:r>
      <w:r w:rsidR="003301BC" w:rsidRPr="004B4D19">
        <w:t xml:space="preserve">, на които е решила </w:t>
      </w:r>
      <w:r w:rsidR="003301BC" w:rsidRPr="004B4D19">
        <w:rPr>
          <w:b/>
        </w:rPr>
        <w:t xml:space="preserve">общо </w:t>
      </w:r>
      <w:r w:rsidR="000C5D8A">
        <w:rPr>
          <w:b/>
        </w:rPr>
        <w:t>285</w:t>
      </w:r>
      <w:r w:rsidR="003301BC" w:rsidRPr="004B4D19">
        <w:rPr>
          <w:b/>
        </w:rPr>
        <w:t xml:space="preserve"> молби</w:t>
      </w:r>
      <w:r w:rsidR="00C16B5C" w:rsidRPr="004B4D19">
        <w:t>, подадени</w:t>
      </w:r>
      <w:r w:rsidR="003301BC" w:rsidRPr="004B4D19">
        <w:t xml:space="preserve"> за общо </w:t>
      </w:r>
      <w:r w:rsidR="00B812EB">
        <w:rPr>
          <w:b/>
        </w:rPr>
        <w:t>246</w:t>
      </w:r>
      <w:r w:rsidR="003301BC" w:rsidRPr="004B4D19">
        <w:rPr>
          <w:b/>
        </w:rPr>
        <w:t xml:space="preserve"> осъдени лица</w:t>
      </w:r>
      <w:r w:rsidR="003301BC" w:rsidRPr="004B4D19">
        <w:t xml:space="preserve">. </w:t>
      </w:r>
      <w:r w:rsidR="00BD62CA" w:rsidRPr="004B4D19">
        <w:t xml:space="preserve">Общият брой </w:t>
      </w:r>
      <w:r w:rsidR="00BD62CA" w:rsidRPr="004B4D19">
        <w:rPr>
          <w:b/>
        </w:rPr>
        <w:t xml:space="preserve">молители е </w:t>
      </w:r>
      <w:r w:rsidR="00B812EB">
        <w:rPr>
          <w:b/>
        </w:rPr>
        <w:t>278</w:t>
      </w:r>
      <w:r w:rsidR="00BD62CA" w:rsidRPr="004B4D19">
        <w:t xml:space="preserve"> от които </w:t>
      </w:r>
      <w:r w:rsidR="00330DBD" w:rsidRPr="004B4D19">
        <w:rPr>
          <w:b/>
        </w:rPr>
        <w:t>2</w:t>
      </w:r>
      <w:r w:rsidR="00B812EB">
        <w:rPr>
          <w:b/>
        </w:rPr>
        <w:t>1</w:t>
      </w:r>
      <w:r w:rsidR="00BD62CA" w:rsidRPr="004B4D19">
        <w:t xml:space="preserve"> </w:t>
      </w:r>
      <w:r w:rsidR="005C32AF" w:rsidRPr="004B4D19">
        <w:t xml:space="preserve">са близки на </w:t>
      </w:r>
      <w:r w:rsidR="00BD62CA" w:rsidRPr="004B4D19">
        <w:t>осъдения</w:t>
      </w:r>
      <w:r w:rsidR="00B812EB">
        <w:t xml:space="preserve"> (основно майка и съпруга)</w:t>
      </w:r>
      <w:r w:rsidR="00330DBD" w:rsidRPr="004B4D19">
        <w:t>,</w:t>
      </w:r>
      <w:r w:rsidR="00BD62CA" w:rsidRPr="004B4D19">
        <w:t xml:space="preserve"> </w:t>
      </w:r>
      <w:r w:rsidR="00B812EB">
        <w:rPr>
          <w:b/>
        </w:rPr>
        <w:t>8</w:t>
      </w:r>
      <w:r w:rsidR="00BD62CA" w:rsidRPr="004B4D19">
        <w:t xml:space="preserve"> са адвокати</w:t>
      </w:r>
      <w:r w:rsidR="00330DBD" w:rsidRPr="004B4D19">
        <w:t xml:space="preserve"> и </w:t>
      </w:r>
      <w:r w:rsidR="00B812EB">
        <w:rPr>
          <w:b/>
        </w:rPr>
        <w:t>3</w:t>
      </w:r>
      <w:r w:rsidR="00330DBD" w:rsidRPr="004B4D19">
        <w:t xml:space="preserve"> </w:t>
      </w:r>
      <w:r w:rsidR="00B812EB">
        <w:t>са</w:t>
      </w:r>
      <w:r w:rsidR="00330DBD" w:rsidRPr="004B4D19">
        <w:t xml:space="preserve"> трет</w:t>
      </w:r>
      <w:r w:rsidR="00B812EB">
        <w:t>и</w:t>
      </w:r>
      <w:r w:rsidR="00330DBD" w:rsidRPr="004B4D19">
        <w:t xml:space="preserve"> лиц</w:t>
      </w:r>
      <w:r w:rsidR="00B812EB">
        <w:t>а</w:t>
      </w:r>
      <w:r w:rsidR="00330DBD" w:rsidRPr="004B4D19">
        <w:t xml:space="preserve"> (бивш затворник</w:t>
      </w:r>
      <w:r w:rsidR="00B812EB">
        <w:t xml:space="preserve"> или лица с неизяснена връзка с молителя</w:t>
      </w:r>
      <w:r w:rsidR="00330DBD" w:rsidRPr="004B4D19">
        <w:t>)</w:t>
      </w:r>
      <w:r w:rsidR="00BD62CA" w:rsidRPr="004B4D19">
        <w:t xml:space="preserve">. </w:t>
      </w:r>
    </w:p>
    <w:tbl>
      <w:tblPr>
        <w:tblStyle w:val="TableGrid"/>
        <w:tblpPr w:leftFromText="141" w:rightFromText="141" w:vertAnchor="page" w:horzAnchor="margin" w:tblpY="3826"/>
        <w:tblW w:w="10788" w:type="dxa"/>
        <w:tblLayout w:type="fixed"/>
        <w:tblLook w:val="04A0" w:firstRow="1" w:lastRow="0" w:firstColumn="1" w:lastColumn="0" w:noHBand="0" w:noVBand="1"/>
      </w:tblPr>
      <w:tblGrid>
        <w:gridCol w:w="1273"/>
        <w:gridCol w:w="567"/>
        <w:gridCol w:w="567"/>
        <w:gridCol w:w="567"/>
        <w:gridCol w:w="554"/>
        <w:gridCol w:w="864"/>
        <w:gridCol w:w="567"/>
        <w:gridCol w:w="396"/>
        <w:gridCol w:w="1276"/>
        <w:gridCol w:w="677"/>
        <w:gridCol w:w="900"/>
        <w:gridCol w:w="538"/>
        <w:gridCol w:w="454"/>
        <w:gridCol w:w="964"/>
        <w:gridCol w:w="624"/>
      </w:tblGrid>
      <w:tr w:rsidR="006F0989" w:rsidRPr="004B4D19" w:rsidTr="00B812EB">
        <w:tc>
          <w:tcPr>
            <w:tcW w:w="10788" w:type="dxa"/>
            <w:gridSpan w:val="15"/>
            <w:tcBorders>
              <w:top w:val="single" w:sz="4" w:space="0" w:color="auto"/>
              <w:left w:val="single" w:sz="4" w:space="0" w:color="auto"/>
              <w:bottom w:val="single" w:sz="4" w:space="0" w:color="auto"/>
              <w:right w:val="single" w:sz="4" w:space="0" w:color="auto"/>
            </w:tcBorders>
          </w:tcPr>
          <w:p w:rsidR="006F0989" w:rsidRPr="004B4D19" w:rsidRDefault="006F0989" w:rsidP="00B812EB">
            <w:pPr>
              <w:ind w:left="-142" w:right="113" w:firstLine="142"/>
              <w:rPr>
                <w:b/>
                <w:sz w:val="19"/>
                <w:szCs w:val="19"/>
              </w:rPr>
            </w:pPr>
            <w:r w:rsidRPr="004B4D19">
              <w:rPr>
                <w:b/>
                <w:sz w:val="19"/>
                <w:szCs w:val="19"/>
              </w:rPr>
              <w:t>Таблица 1: Обща справка за движението на молбите за помилване</w:t>
            </w:r>
          </w:p>
        </w:tc>
      </w:tr>
      <w:tr w:rsidR="006F0989" w:rsidRPr="004B4D19" w:rsidTr="00B812EB">
        <w:tc>
          <w:tcPr>
            <w:tcW w:w="1273" w:type="dxa"/>
            <w:vMerge w:val="restart"/>
            <w:tcBorders>
              <w:top w:val="single" w:sz="4" w:space="0" w:color="auto"/>
              <w:left w:val="single" w:sz="4" w:space="0" w:color="auto"/>
              <w:bottom w:val="single" w:sz="4" w:space="0" w:color="auto"/>
              <w:right w:val="single" w:sz="4" w:space="0" w:color="auto"/>
            </w:tcBorders>
            <w:hideMark/>
          </w:tcPr>
          <w:p w:rsidR="006F0989" w:rsidRPr="004B4D19" w:rsidRDefault="006F0989" w:rsidP="00B812EB">
            <w:pPr>
              <w:rPr>
                <w:b/>
                <w:sz w:val="19"/>
                <w:szCs w:val="19"/>
              </w:rPr>
            </w:pPr>
          </w:p>
          <w:p w:rsidR="006F0989" w:rsidRPr="004B4D19" w:rsidRDefault="006F0989" w:rsidP="00B812EB">
            <w:pPr>
              <w:rPr>
                <w:b/>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6F0989" w:rsidRPr="004B4D19" w:rsidRDefault="006F0989" w:rsidP="00B812EB">
            <w:pPr>
              <w:ind w:left="113" w:right="113"/>
              <w:rPr>
                <w:b/>
                <w:sz w:val="19"/>
                <w:szCs w:val="19"/>
              </w:rPr>
            </w:pPr>
            <w:r w:rsidRPr="004B4D19">
              <w:rPr>
                <w:b/>
                <w:sz w:val="19"/>
                <w:szCs w:val="19"/>
              </w:rPr>
              <w:t>Заварени</w:t>
            </w:r>
          </w:p>
          <w:p w:rsidR="006F0989" w:rsidRPr="004B4D19" w:rsidRDefault="006F0989" w:rsidP="00B812EB">
            <w:pPr>
              <w:ind w:left="113" w:right="113"/>
              <w:rPr>
                <w:b/>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6F0989" w:rsidRPr="004B4D19" w:rsidRDefault="006F0989" w:rsidP="00B812EB">
            <w:pPr>
              <w:ind w:left="113" w:right="113"/>
              <w:rPr>
                <w:b/>
                <w:sz w:val="19"/>
                <w:szCs w:val="19"/>
              </w:rPr>
            </w:pPr>
            <w:r w:rsidRPr="004B4D19">
              <w:rPr>
                <w:b/>
                <w:sz w:val="19"/>
                <w:szCs w:val="19"/>
              </w:rPr>
              <w:t>ПОЛУЧЕНИ</w:t>
            </w:r>
          </w:p>
        </w:tc>
        <w:tc>
          <w:tcPr>
            <w:tcW w:w="6793" w:type="dxa"/>
            <w:gridSpan w:val="10"/>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6F0989" w:rsidRPr="004B4D19" w:rsidRDefault="006F0989" w:rsidP="00B812EB">
            <w:pPr>
              <w:rPr>
                <w:b/>
                <w:sz w:val="19"/>
                <w:szCs w:val="19"/>
              </w:rPr>
            </w:pPr>
            <w:r w:rsidRPr="004B4D19">
              <w:rPr>
                <w:b/>
                <w:sz w:val="19"/>
                <w:szCs w:val="19"/>
              </w:rPr>
              <w:t xml:space="preserve">РЕШЕНИ </w:t>
            </w:r>
            <w:r w:rsidRPr="004B4D19">
              <w:rPr>
                <w:sz w:val="19"/>
                <w:szCs w:val="19"/>
              </w:rPr>
              <w:t>с предложение за</w:t>
            </w:r>
          </w:p>
        </w:tc>
        <w:tc>
          <w:tcPr>
            <w:tcW w:w="964" w:type="dxa"/>
            <w:vMerge w:val="restart"/>
            <w:tcBorders>
              <w:top w:val="single" w:sz="4" w:space="0" w:color="auto"/>
              <w:left w:val="single" w:sz="4" w:space="0" w:color="auto"/>
              <w:bottom w:val="single" w:sz="4" w:space="0" w:color="auto"/>
              <w:right w:val="single" w:sz="4" w:space="0" w:color="auto"/>
            </w:tcBorders>
            <w:hideMark/>
          </w:tcPr>
          <w:p w:rsidR="006F0989" w:rsidRPr="004B4D19" w:rsidRDefault="006F0989" w:rsidP="00B812EB">
            <w:pPr>
              <w:ind w:right="-108"/>
              <w:rPr>
                <w:b/>
                <w:sz w:val="19"/>
                <w:szCs w:val="19"/>
              </w:rPr>
            </w:pPr>
            <w:r w:rsidRPr="004B4D19">
              <w:rPr>
                <w:b/>
                <w:sz w:val="19"/>
                <w:szCs w:val="19"/>
              </w:rPr>
              <w:t xml:space="preserve">ВИСЯЩИ </w:t>
            </w:r>
          </w:p>
          <w:p w:rsidR="006F0989" w:rsidRPr="004B4D19" w:rsidRDefault="006F0989" w:rsidP="00B812EB">
            <w:pPr>
              <w:rPr>
                <w:sz w:val="19"/>
                <w:szCs w:val="19"/>
              </w:rPr>
            </w:pPr>
            <w:r w:rsidRPr="004B4D19">
              <w:rPr>
                <w:sz w:val="19"/>
                <w:szCs w:val="19"/>
              </w:rPr>
              <w:t xml:space="preserve">пред КП в края на периода </w:t>
            </w:r>
            <w:r w:rsidRPr="004B4D19">
              <w:rPr>
                <w:sz w:val="19"/>
                <w:szCs w:val="19"/>
                <w:lang w:val="en-US"/>
              </w:rPr>
              <w:t>(</w:t>
            </w:r>
            <w:r w:rsidRPr="004B4D19">
              <w:rPr>
                <w:sz w:val="19"/>
                <w:szCs w:val="19"/>
              </w:rPr>
              <w:t>разпре-делени)</w:t>
            </w:r>
          </w:p>
        </w:tc>
        <w:tc>
          <w:tcPr>
            <w:tcW w:w="624" w:type="dxa"/>
            <w:vMerge w:val="restart"/>
            <w:tcBorders>
              <w:top w:val="single" w:sz="4" w:space="0" w:color="auto"/>
              <w:left w:val="single" w:sz="4" w:space="0" w:color="auto"/>
              <w:bottom w:val="single" w:sz="4" w:space="0" w:color="auto"/>
              <w:right w:val="single" w:sz="4" w:space="0" w:color="auto"/>
            </w:tcBorders>
            <w:textDirection w:val="btLr"/>
          </w:tcPr>
          <w:p w:rsidR="006F0989" w:rsidRPr="004B4D19" w:rsidRDefault="006F0989" w:rsidP="00B812EB">
            <w:pPr>
              <w:ind w:left="113" w:right="113"/>
              <w:rPr>
                <w:b/>
                <w:sz w:val="19"/>
                <w:szCs w:val="19"/>
              </w:rPr>
            </w:pPr>
            <w:r w:rsidRPr="004B4D19">
              <w:rPr>
                <w:b/>
                <w:sz w:val="19"/>
                <w:szCs w:val="19"/>
              </w:rPr>
              <w:t xml:space="preserve">Чакат справки </w:t>
            </w:r>
            <w:r w:rsidRPr="004B4D19">
              <w:rPr>
                <w:sz w:val="19"/>
                <w:szCs w:val="19"/>
              </w:rPr>
              <w:t>(края на мес.)</w:t>
            </w:r>
          </w:p>
        </w:tc>
      </w:tr>
      <w:tr w:rsidR="006F0989" w:rsidRPr="004B4D19" w:rsidTr="00B812EB">
        <w:trPr>
          <w:trHeight w:val="305"/>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b/>
                <w:sz w:val="19"/>
                <w:szCs w:val="19"/>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textDirection w:val="btLr"/>
            <w:hideMark/>
          </w:tcPr>
          <w:p w:rsidR="006F0989" w:rsidRPr="004B4D19" w:rsidRDefault="006F0989" w:rsidP="00B812EB">
            <w:pPr>
              <w:ind w:left="113" w:right="113"/>
              <w:rPr>
                <w:b/>
                <w:sz w:val="19"/>
                <w:szCs w:val="19"/>
              </w:rPr>
            </w:pPr>
            <w:r w:rsidRPr="004B4D19">
              <w:rPr>
                <w:b/>
                <w:sz w:val="19"/>
                <w:szCs w:val="19"/>
              </w:rPr>
              <w:t>Общо решени</w:t>
            </w:r>
          </w:p>
        </w:tc>
        <w:tc>
          <w:tcPr>
            <w:tcW w:w="5234"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6F0989" w:rsidRPr="004B4D19" w:rsidRDefault="006F0989" w:rsidP="00B812EB">
            <w:pPr>
              <w:rPr>
                <w:b/>
                <w:sz w:val="19"/>
                <w:szCs w:val="19"/>
                <w:lang w:val="en-US"/>
              </w:rPr>
            </w:pPr>
            <w:r w:rsidRPr="004B4D19">
              <w:rPr>
                <w:b/>
                <w:sz w:val="19"/>
                <w:szCs w:val="19"/>
              </w:rPr>
              <w:t>Прекратяване</w:t>
            </w:r>
            <w:r w:rsidRPr="004B4D19">
              <w:rPr>
                <w:b/>
                <w:sz w:val="19"/>
                <w:szCs w:val="19"/>
                <w:lang w:val="en-US"/>
              </w:rPr>
              <w:t xml:space="preserve"> </w:t>
            </w:r>
          </w:p>
        </w:tc>
        <w:tc>
          <w:tcPr>
            <w:tcW w:w="538" w:type="dxa"/>
            <w:vMerge w:val="restart"/>
            <w:tcBorders>
              <w:top w:val="single" w:sz="4" w:space="0" w:color="auto"/>
              <w:left w:val="single" w:sz="4" w:space="0" w:color="auto"/>
              <w:bottom w:val="single" w:sz="4" w:space="0" w:color="auto"/>
              <w:right w:val="single" w:sz="4" w:space="0" w:color="auto"/>
            </w:tcBorders>
            <w:textDirection w:val="btLr"/>
            <w:hideMark/>
          </w:tcPr>
          <w:p w:rsidR="006F0989" w:rsidRPr="004B4D19" w:rsidRDefault="006F0989" w:rsidP="00B812EB">
            <w:pPr>
              <w:ind w:left="113" w:right="113"/>
              <w:rPr>
                <w:b/>
                <w:sz w:val="19"/>
                <w:szCs w:val="19"/>
                <w:lang w:val="en-US"/>
              </w:rPr>
            </w:pPr>
            <w:r w:rsidRPr="004B4D19">
              <w:rPr>
                <w:b/>
                <w:sz w:val="19"/>
                <w:szCs w:val="19"/>
              </w:rPr>
              <w:t>Отказ</w:t>
            </w:r>
            <w:r w:rsidRPr="004B4D19">
              <w:rPr>
                <w:b/>
                <w:sz w:val="19"/>
                <w:szCs w:val="19"/>
                <w:lang w:val="en-US"/>
              </w:rPr>
              <w:t xml:space="preserve"> </w:t>
            </w:r>
          </w:p>
        </w:tc>
        <w:tc>
          <w:tcPr>
            <w:tcW w:w="454" w:type="dxa"/>
            <w:vMerge w:val="restart"/>
            <w:tcBorders>
              <w:top w:val="single" w:sz="4" w:space="0" w:color="auto"/>
              <w:left w:val="single" w:sz="4" w:space="0" w:color="auto"/>
              <w:bottom w:val="single" w:sz="4" w:space="0" w:color="auto"/>
              <w:right w:val="single" w:sz="4" w:space="0" w:color="auto"/>
            </w:tcBorders>
            <w:textDirection w:val="btLr"/>
            <w:hideMark/>
          </w:tcPr>
          <w:p w:rsidR="006F0989" w:rsidRPr="004B4D19" w:rsidRDefault="006F0989" w:rsidP="00B812EB">
            <w:pPr>
              <w:ind w:left="113" w:right="113"/>
              <w:rPr>
                <w:b/>
                <w:sz w:val="19"/>
                <w:szCs w:val="19"/>
              </w:rPr>
            </w:pPr>
            <w:r w:rsidRPr="004B4D19">
              <w:rPr>
                <w:b/>
                <w:sz w:val="19"/>
                <w:szCs w:val="19"/>
              </w:rPr>
              <w:t>Помилване</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sz w:val="19"/>
                <w:szCs w:val="19"/>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sz w:val="19"/>
                <w:szCs w:val="19"/>
              </w:rPr>
            </w:pPr>
          </w:p>
        </w:tc>
      </w:tr>
      <w:tr w:rsidR="006F0989" w:rsidRPr="004B4D19" w:rsidTr="00B812EB">
        <w:trPr>
          <w:cantSplit/>
          <w:trHeight w:val="2136"/>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b/>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b/>
                <w:sz w:val="19"/>
                <w:szCs w:val="19"/>
              </w:rPr>
            </w:pP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hideMark/>
          </w:tcPr>
          <w:p w:rsidR="006F0989" w:rsidRPr="004B4D19" w:rsidRDefault="006F0989" w:rsidP="00B812EB">
            <w:pPr>
              <w:ind w:left="113" w:right="113"/>
              <w:rPr>
                <w:b/>
                <w:sz w:val="19"/>
                <w:szCs w:val="19"/>
              </w:rPr>
            </w:pPr>
            <w:r w:rsidRPr="004B4D19">
              <w:rPr>
                <w:b/>
                <w:sz w:val="19"/>
                <w:szCs w:val="19"/>
              </w:rPr>
              <w:t>общо</w:t>
            </w:r>
          </w:p>
        </w:tc>
        <w:tc>
          <w:tcPr>
            <w:tcW w:w="864" w:type="dxa"/>
            <w:tcBorders>
              <w:top w:val="single" w:sz="4" w:space="0" w:color="auto"/>
              <w:left w:val="single" w:sz="4" w:space="0" w:color="auto"/>
              <w:bottom w:val="single" w:sz="4" w:space="0" w:color="auto"/>
              <w:right w:val="single" w:sz="4" w:space="0" w:color="auto"/>
            </w:tcBorders>
            <w:textDirection w:val="btLr"/>
            <w:hideMark/>
          </w:tcPr>
          <w:p w:rsidR="006F0989" w:rsidRPr="004B4D19" w:rsidRDefault="006F0989" w:rsidP="00B812EB">
            <w:pPr>
              <w:ind w:left="113" w:right="113"/>
              <w:rPr>
                <w:sz w:val="19"/>
                <w:szCs w:val="19"/>
              </w:rPr>
            </w:pPr>
            <w:r w:rsidRPr="004B4D19">
              <w:rPr>
                <w:sz w:val="19"/>
                <w:szCs w:val="19"/>
              </w:rPr>
              <w:t>Няма нови обстоятелства след постановен отказ</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6F0989" w:rsidRPr="004B4D19" w:rsidRDefault="006F0989" w:rsidP="00B812EB">
            <w:pPr>
              <w:ind w:left="113" w:right="113"/>
              <w:rPr>
                <w:sz w:val="19"/>
                <w:szCs w:val="19"/>
              </w:rPr>
            </w:pPr>
            <w:r w:rsidRPr="004B4D19">
              <w:rPr>
                <w:sz w:val="19"/>
                <w:szCs w:val="19"/>
              </w:rPr>
              <w:t xml:space="preserve">Изтърпяно наказание (вкл. глоба) </w:t>
            </w:r>
          </w:p>
        </w:tc>
        <w:tc>
          <w:tcPr>
            <w:tcW w:w="396" w:type="dxa"/>
            <w:tcBorders>
              <w:top w:val="single" w:sz="4" w:space="0" w:color="auto"/>
              <w:left w:val="single" w:sz="4" w:space="0" w:color="auto"/>
              <w:bottom w:val="single" w:sz="4" w:space="0" w:color="auto"/>
              <w:right w:val="single" w:sz="4" w:space="0" w:color="auto"/>
            </w:tcBorders>
            <w:textDirection w:val="btLr"/>
            <w:hideMark/>
          </w:tcPr>
          <w:p w:rsidR="006F0989" w:rsidRPr="004B4D19" w:rsidRDefault="006F0989" w:rsidP="00B812EB">
            <w:pPr>
              <w:ind w:left="113" w:right="113"/>
              <w:rPr>
                <w:sz w:val="19"/>
                <w:szCs w:val="19"/>
              </w:rPr>
            </w:pPr>
            <w:r w:rsidRPr="004B4D19">
              <w:rPr>
                <w:sz w:val="19"/>
                <w:szCs w:val="19"/>
              </w:rPr>
              <w:t>Починал молител</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F0989" w:rsidRPr="004B4D19" w:rsidRDefault="006F0989" w:rsidP="00B812EB">
            <w:pPr>
              <w:ind w:left="113" w:right="113"/>
              <w:rPr>
                <w:sz w:val="19"/>
                <w:szCs w:val="19"/>
              </w:rPr>
            </w:pPr>
            <w:r w:rsidRPr="004B4D19">
              <w:rPr>
                <w:sz w:val="18"/>
                <w:szCs w:val="18"/>
              </w:rPr>
              <w:t xml:space="preserve">Молителят не търси помилване (амнистия, реабилитация, опрощаване на изпитателен срок, др.)   </w:t>
            </w:r>
          </w:p>
        </w:tc>
        <w:tc>
          <w:tcPr>
            <w:tcW w:w="677" w:type="dxa"/>
            <w:tcBorders>
              <w:top w:val="single" w:sz="4" w:space="0" w:color="auto"/>
              <w:left w:val="single" w:sz="4" w:space="0" w:color="auto"/>
              <w:bottom w:val="single" w:sz="4" w:space="0" w:color="auto"/>
              <w:right w:val="single" w:sz="4" w:space="0" w:color="auto"/>
            </w:tcBorders>
            <w:textDirection w:val="btLr"/>
          </w:tcPr>
          <w:p w:rsidR="006F0989" w:rsidRPr="004B4D19" w:rsidRDefault="006F0989" w:rsidP="00B812EB">
            <w:pPr>
              <w:ind w:left="113" w:right="113"/>
              <w:rPr>
                <w:sz w:val="19"/>
                <w:szCs w:val="19"/>
              </w:rPr>
            </w:pPr>
            <w:r w:rsidRPr="004B4D19">
              <w:rPr>
                <w:sz w:val="19"/>
                <w:szCs w:val="19"/>
              </w:rPr>
              <w:t xml:space="preserve">Неприложимо помилване </w:t>
            </w:r>
          </w:p>
        </w:tc>
        <w:tc>
          <w:tcPr>
            <w:tcW w:w="900" w:type="dxa"/>
            <w:tcBorders>
              <w:top w:val="single" w:sz="4" w:space="0" w:color="auto"/>
              <w:left w:val="single" w:sz="4" w:space="0" w:color="auto"/>
              <w:bottom w:val="single" w:sz="4" w:space="0" w:color="auto"/>
              <w:right w:val="single" w:sz="4" w:space="0" w:color="auto"/>
            </w:tcBorders>
            <w:textDirection w:val="btLr"/>
          </w:tcPr>
          <w:p w:rsidR="006F0989" w:rsidRPr="004B4D19" w:rsidRDefault="006F0989" w:rsidP="00B812EB">
            <w:pPr>
              <w:ind w:left="113" w:right="113"/>
              <w:rPr>
                <w:sz w:val="19"/>
                <w:szCs w:val="19"/>
              </w:rPr>
            </w:pPr>
            <w:r w:rsidRPr="004B4D19">
              <w:rPr>
                <w:sz w:val="19"/>
                <w:szCs w:val="19"/>
              </w:rPr>
              <w:t>Молителят отказва съдействие/оттегля молбата</w:t>
            </w: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b/>
                <w:sz w:val="19"/>
                <w:szCs w:val="19"/>
                <w:lang w:val="en-US"/>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b/>
                <w:sz w:val="19"/>
                <w:szCs w:val="19"/>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F0989" w:rsidRPr="004B4D19" w:rsidRDefault="006F0989" w:rsidP="00B812EB">
            <w:pPr>
              <w:rPr>
                <w:sz w:val="19"/>
                <w:szCs w:val="19"/>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sz w:val="19"/>
                <w:szCs w:val="19"/>
              </w:rPr>
            </w:pPr>
          </w:p>
        </w:tc>
      </w:tr>
      <w:tr w:rsidR="006F0989" w:rsidRPr="004B4D19" w:rsidTr="00B812EB">
        <w:tc>
          <w:tcPr>
            <w:tcW w:w="1273"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1-2017 г.</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4</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26</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F0989" w:rsidRPr="004B4D19" w:rsidRDefault="006F0989" w:rsidP="00B812EB">
            <w:pPr>
              <w:rPr>
                <w:sz w:val="19"/>
                <w:szCs w:val="19"/>
              </w:rPr>
            </w:pPr>
            <w:r w:rsidRPr="004B4D19">
              <w:rPr>
                <w:sz w:val="19"/>
                <w:szCs w:val="19"/>
              </w:rPr>
              <w:t>0</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F0989" w:rsidRPr="004B4D19" w:rsidRDefault="006F0989" w:rsidP="00B812EB">
            <w:pPr>
              <w:rPr>
                <w:sz w:val="19"/>
                <w:szCs w:val="19"/>
              </w:rPr>
            </w:pPr>
            <w:r w:rsidRPr="004B4D19">
              <w:rPr>
                <w:sz w:val="19"/>
                <w:szCs w:val="19"/>
              </w:rPr>
              <w:t>0</w:t>
            </w:r>
          </w:p>
        </w:tc>
        <w:tc>
          <w:tcPr>
            <w:tcW w:w="8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39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67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900"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45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9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69</w:t>
            </w:r>
          </w:p>
        </w:tc>
      </w:tr>
      <w:tr w:rsidR="006F0989" w:rsidRPr="004B4D19" w:rsidTr="00B812EB">
        <w:tc>
          <w:tcPr>
            <w:tcW w:w="1273"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2-2017 г.</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30</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71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F0989" w:rsidRPr="004B4D19" w:rsidRDefault="006F0989" w:rsidP="00B812EB">
            <w:pPr>
              <w:rPr>
                <w:sz w:val="19"/>
                <w:szCs w:val="19"/>
              </w:rPr>
            </w:pPr>
            <w:r w:rsidRPr="004B4D19">
              <w:rPr>
                <w:sz w:val="19"/>
                <w:szCs w:val="19"/>
              </w:rPr>
              <w:t>41</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F0989" w:rsidRPr="004B4D19" w:rsidRDefault="006F0989" w:rsidP="00B812EB">
            <w:pPr>
              <w:rPr>
                <w:sz w:val="19"/>
                <w:szCs w:val="19"/>
                <w:lang w:val="en-US"/>
              </w:rPr>
            </w:pPr>
            <w:r w:rsidRPr="004B4D19">
              <w:rPr>
                <w:sz w:val="19"/>
                <w:szCs w:val="19"/>
                <w:lang w:val="en-US"/>
              </w:rPr>
              <w:t>0</w:t>
            </w:r>
          </w:p>
        </w:tc>
        <w:tc>
          <w:tcPr>
            <w:tcW w:w="8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39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127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67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900"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538"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41</w:t>
            </w:r>
          </w:p>
        </w:tc>
        <w:tc>
          <w:tcPr>
            <w:tcW w:w="45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9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10</w:t>
            </w:r>
          </w:p>
        </w:tc>
        <w:tc>
          <w:tcPr>
            <w:tcW w:w="62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81</w:t>
            </w:r>
          </w:p>
        </w:tc>
      </w:tr>
      <w:tr w:rsidR="006F0989" w:rsidRPr="004B4D19" w:rsidTr="00B812EB">
        <w:tc>
          <w:tcPr>
            <w:tcW w:w="1273"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3-2017 г.</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60</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61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F0989" w:rsidRPr="004B4D19" w:rsidRDefault="006F0989" w:rsidP="00B812EB">
            <w:pPr>
              <w:rPr>
                <w:sz w:val="19"/>
                <w:szCs w:val="19"/>
              </w:rPr>
            </w:pPr>
            <w:r w:rsidRPr="004B4D19">
              <w:rPr>
                <w:sz w:val="19"/>
                <w:szCs w:val="19"/>
              </w:rPr>
              <w:t>38</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F0989" w:rsidRPr="004B4D19" w:rsidRDefault="006F0989" w:rsidP="00B812EB">
            <w:pPr>
              <w:rPr>
                <w:sz w:val="19"/>
                <w:szCs w:val="19"/>
                <w:lang w:val="en-US"/>
              </w:rPr>
            </w:pPr>
            <w:r w:rsidRPr="004B4D19">
              <w:rPr>
                <w:sz w:val="19"/>
                <w:szCs w:val="19"/>
                <w:lang w:val="en-US"/>
              </w:rPr>
              <w:t>2</w:t>
            </w:r>
          </w:p>
        </w:tc>
        <w:tc>
          <w:tcPr>
            <w:tcW w:w="8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39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127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67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2</w:t>
            </w:r>
          </w:p>
        </w:tc>
        <w:tc>
          <w:tcPr>
            <w:tcW w:w="900"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538"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38</w:t>
            </w:r>
          </w:p>
        </w:tc>
        <w:tc>
          <w:tcPr>
            <w:tcW w:w="45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9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21</w:t>
            </w:r>
          </w:p>
        </w:tc>
        <w:tc>
          <w:tcPr>
            <w:tcW w:w="62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85</w:t>
            </w:r>
          </w:p>
        </w:tc>
      </w:tr>
      <w:tr w:rsidR="006F0989" w:rsidRPr="004B4D19" w:rsidTr="00B812EB">
        <w:tc>
          <w:tcPr>
            <w:tcW w:w="1273"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4-2017 г.</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83</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39</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F0989" w:rsidRPr="004B4D19" w:rsidRDefault="006F0989" w:rsidP="00B812EB">
            <w:pPr>
              <w:rPr>
                <w:sz w:val="19"/>
                <w:szCs w:val="19"/>
              </w:rPr>
            </w:pPr>
            <w:r w:rsidRPr="004B4D19">
              <w:rPr>
                <w:sz w:val="19"/>
                <w:szCs w:val="19"/>
              </w:rPr>
              <w:t>17</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F0989" w:rsidRPr="004B4D19" w:rsidRDefault="006F0989" w:rsidP="00B812EB">
            <w:pPr>
              <w:rPr>
                <w:sz w:val="19"/>
                <w:szCs w:val="19"/>
                <w:lang w:val="en-US"/>
              </w:rPr>
            </w:pPr>
            <w:r w:rsidRPr="004B4D19">
              <w:rPr>
                <w:sz w:val="19"/>
                <w:szCs w:val="19"/>
                <w:lang w:val="en-US"/>
              </w:rPr>
              <w:t>0</w:t>
            </w:r>
          </w:p>
        </w:tc>
        <w:tc>
          <w:tcPr>
            <w:tcW w:w="8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39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127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67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900"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0</w:t>
            </w:r>
          </w:p>
        </w:tc>
        <w:tc>
          <w:tcPr>
            <w:tcW w:w="538"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16</w:t>
            </w:r>
          </w:p>
        </w:tc>
        <w:tc>
          <w:tcPr>
            <w:tcW w:w="45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w:t>
            </w:r>
            <w:r w:rsidRPr="004B4D19">
              <w:rPr>
                <w:rStyle w:val="FootnoteReference"/>
                <w:sz w:val="19"/>
                <w:szCs w:val="19"/>
              </w:rPr>
              <w:footnoteReference w:id="2"/>
            </w:r>
          </w:p>
        </w:tc>
        <w:tc>
          <w:tcPr>
            <w:tcW w:w="9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16</w:t>
            </w:r>
          </w:p>
        </w:tc>
        <w:tc>
          <w:tcPr>
            <w:tcW w:w="62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106</w:t>
            </w:r>
          </w:p>
        </w:tc>
      </w:tr>
      <w:tr w:rsidR="006F0989" w:rsidRPr="004B4D19" w:rsidTr="00B812EB">
        <w:tc>
          <w:tcPr>
            <w:tcW w:w="1273"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lang w:val="en-US"/>
              </w:rPr>
              <w:t xml:space="preserve">5-2017 </w:t>
            </w:r>
            <w:r w:rsidRPr="004B4D19">
              <w:rPr>
                <w:sz w:val="19"/>
                <w:szCs w:val="19"/>
              </w:rPr>
              <w:t>г</w:t>
            </w:r>
            <w:r w:rsidRPr="004B4D19">
              <w:rPr>
                <w:sz w:val="19"/>
                <w:szCs w:val="19"/>
                <w:lang w:val="en-US"/>
              </w:rPr>
              <w:t>.</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105</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68</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F0989" w:rsidRPr="004B4D19" w:rsidRDefault="006F0989" w:rsidP="00B812EB">
            <w:pPr>
              <w:rPr>
                <w:sz w:val="19"/>
                <w:szCs w:val="19"/>
              </w:rPr>
            </w:pPr>
            <w:r w:rsidRPr="004B4D19">
              <w:rPr>
                <w:sz w:val="19"/>
                <w:szCs w:val="19"/>
              </w:rPr>
              <w:t>55</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F0989" w:rsidRPr="004B4D19" w:rsidRDefault="006F0989" w:rsidP="00B812EB">
            <w:pPr>
              <w:rPr>
                <w:sz w:val="19"/>
                <w:szCs w:val="19"/>
              </w:rPr>
            </w:pPr>
            <w:r w:rsidRPr="004B4D19">
              <w:rPr>
                <w:sz w:val="19"/>
                <w:szCs w:val="19"/>
              </w:rPr>
              <w:t>3</w:t>
            </w:r>
          </w:p>
        </w:tc>
        <w:tc>
          <w:tcPr>
            <w:tcW w:w="8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2</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w:t>
            </w:r>
          </w:p>
        </w:tc>
        <w:tc>
          <w:tcPr>
            <w:tcW w:w="39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67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900"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52</w:t>
            </w:r>
          </w:p>
        </w:tc>
        <w:tc>
          <w:tcPr>
            <w:tcW w:w="45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964" w:type="dxa"/>
            <w:tcBorders>
              <w:top w:val="single" w:sz="4" w:space="0" w:color="auto"/>
              <w:left w:val="single" w:sz="4" w:space="0" w:color="auto"/>
              <w:bottom w:val="single" w:sz="4" w:space="0" w:color="auto"/>
              <w:right w:val="single" w:sz="4" w:space="0" w:color="auto"/>
            </w:tcBorders>
          </w:tcPr>
          <w:p w:rsidR="006F0989" w:rsidRPr="004B4D19" w:rsidRDefault="00C130B7" w:rsidP="00B812EB">
            <w:pPr>
              <w:rPr>
                <w:sz w:val="19"/>
                <w:szCs w:val="19"/>
              </w:rPr>
            </w:pPr>
            <w:r>
              <w:rPr>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118</w:t>
            </w:r>
          </w:p>
        </w:tc>
      </w:tr>
      <w:tr w:rsidR="006F0989" w:rsidRPr="004B4D19" w:rsidTr="00B812EB">
        <w:tc>
          <w:tcPr>
            <w:tcW w:w="1273"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rPr>
              <w:t>6</w:t>
            </w:r>
            <w:r w:rsidRPr="004B4D19">
              <w:rPr>
                <w:sz w:val="19"/>
                <w:szCs w:val="19"/>
                <w:lang w:val="en-US"/>
              </w:rPr>
              <w:t xml:space="preserve">-2017 </w:t>
            </w:r>
            <w:r w:rsidRPr="004B4D19">
              <w:rPr>
                <w:sz w:val="19"/>
                <w:szCs w:val="19"/>
              </w:rPr>
              <w:t>г</w:t>
            </w:r>
            <w:r w:rsidRPr="004B4D19">
              <w:rPr>
                <w:sz w:val="19"/>
                <w:szCs w:val="19"/>
                <w:lang w:val="en-US"/>
              </w:rPr>
              <w:t>.</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118</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51</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F0989" w:rsidRPr="004B4D19" w:rsidRDefault="006F0989" w:rsidP="00B812EB">
            <w:pPr>
              <w:rPr>
                <w:sz w:val="19"/>
                <w:szCs w:val="19"/>
              </w:rPr>
            </w:pPr>
            <w:r w:rsidRPr="004B4D19">
              <w:rPr>
                <w:sz w:val="19"/>
                <w:szCs w:val="19"/>
              </w:rPr>
              <w:t>59</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F0989" w:rsidRPr="004B4D19" w:rsidRDefault="006F0989" w:rsidP="00B812EB">
            <w:pPr>
              <w:rPr>
                <w:sz w:val="19"/>
                <w:szCs w:val="19"/>
              </w:rPr>
            </w:pPr>
            <w:r w:rsidRPr="004B4D19">
              <w:rPr>
                <w:sz w:val="19"/>
                <w:szCs w:val="19"/>
              </w:rPr>
              <w:t>4</w:t>
            </w:r>
          </w:p>
        </w:tc>
        <w:tc>
          <w:tcPr>
            <w:tcW w:w="86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4</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39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67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900"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54</w:t>
            </w:r>
          </w:p>
        </w:tc>
        <w:tc>
          <w:tcPr>
            <w:tcW w:w="454"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w:t>
            </w:r>
            <w:r w:rsidRPr="004B4D19">
              <w:rPr>
                <w:rStyle w:val="FootnoteReference"/>
                <w:sz w:val="19"/>
                <w:szCs w:val="19"/>
              </w:rPr>
              <w:footnoteReference w:id="3"/>
            </w:r>
          </w:p>
        </w:tc>
        <w:tc>
          <w:tcPr>
            <w:tcW w:w="964" w:type="dxa"/>
            <w:tcBorders>
              <w:top w:val="single" w:sz="4" w:space="0" w:color="auto"/>
              <w:left w:val="single" w:sz="4" w:space="0" w:color="auto"/>
              <w:bottom w:val="single" w:sz="4" w:space="0" w:color="auto"/>
              <w:right w:val="single" w:sz="4" w:space="0" w:color="auto"/>
            </w:tcBorders>
          </w:tcPr>
          <w:p w:rsidR="006F0989" w:rsidRPr="004B4D19" w:rsidRDefault="00C130B7" w:rsidP="00B812EB">
            <w:pPr>
              <w:rPr>
                <w:sz w:val="19"/>
                <w:szCs w:val="19"/>
              </w:rPr>
            </w:pPr>
            <w:r>
              <w:rPr>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6F0989" w:rsidRPr="004B4D19" w:rsidRDefault="00C130B7" w:rsidP="00B812EB">
            <w:pPr>
              <w:rPr>
                <w:sz w:val="19"/>
                <w:szCs w:val="19"/>
              </w:rPr>
            </w:pPr>
            <w:r>
              <w:rPr>
                <w:sz w:val="19"/>
                <w:szCs w:val="19"/>
              </w:rPr>
              <w:t>118</w:t>
            </w:r>
          </w:p>
        </w:tc>
      </w:tr>
      <w:tr w:rsidR="006F0989" w:rsidRPr="004B4D19" w:rsidTr="00B812EB">
        <w:tc>
          <w:tcPr>
            <w:tcW w:w="1273"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lang w:val="en-US"/>
              </w:rPr>
            </w:pPr>
            <w:r w:rsidRPr="004B4D19">
              <w:rPr>
                <w:sz w:val="19"/>
                <w:szCs w:val="19"/>
              </w:rPr>
              <w:t>7</w:t>
            </w:r>
            <w:r w:rsidRPr="004B4D19">
              <w:rPr>
                <w:sz w:val="19"/>
                <w:szCs w:val="19"/>
                <w:lang w:val="en-US"/>
              </w:rPr>
              <w:t xml:space="preserve">-2017 </w:t>
            </w:r>
            <w:r w:rsidRPr="004B4D19">
              <w:rPr>
                <w:sz w:val="19"/>
                <w:szCs w:val="19"/>
              </w:rPr>
              <w:t>г</w:t>
            </w:r>
            <w:r w:rsidRPr="004B4D19">
              <w:rPr>
                <w:sz w:val="19"/>
                <w:szCs w:val="19"/>
                <w:lang w:val="en-US"/>
              </w:rPr>
              <w:t>.</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110</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0C5D8A" w:rsidP="00B812EB">
            <w:pPr>
              <w:rPr>
                <w:sz w:val="19"/>
                <w:szCs w:val="19"/>
              </w:rPr>
            </w:pPr>
            <w:r>
              <w:rPr>
                <w:sz w:val="19"/>
                <w:szCs w:val="19"/>
              </w:rPr>
              <w:t>53</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F0989" w:rsidRPr="004B4D19" w:rsidRDefault="000C5D8A" w:rsidP="00B812EB">
            <w:pPr>
              <w:rPr>
                <w:sz w:val="19"/>
                <w:szCs w:val="19"/>
              </w:rPr>
            </w:pPr>
            <w:r>
              <w:rPr>
                <w:sz w:val="19"/>
                <w:szCs w:val="19"/>
              </w:rPr>
              <w:t>76</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F0989" w:rsidRPr="004B4D19" w:rsidRDefault="000C5D8A" w:rsidP="00B812EB">
            <w:pPr>
              <w:rPr>
                <w:sz w:val="19"/>
                <w:szCs w:val="19"/>
              </w:rPr>
            </w:pPr>
            <w:r>
              <w:rPr>
                <w:sz w:val="19"/>
                <w:szCs w:val="19"/>
              </w:rPr>
              <w:t>4</w:t>
            </w:r>
          </w:p>
        </w:tc>
        <w:tc>
          <w:tcPr>
            <w:tcW w:w="864" w:type="dxa"/>
            <w:tcBorders>
              <w:top w:val="single" w:sz="4" w:space="0" w:color="auto"/>
              <w:left w:val="single" w:sz="4" w:space="0" w:color="auto"/>
              <w:bottom w:val="single" w:sz="4" w:space="0" w:color="auto"/>
              <w:right w:val="single" w:sz="4" w:space="0" w:color="auto"/>
            </w:tcBorders>
          </w:tcPr>
          <w:p w:rsidR="006F0989" w:rsidRPr="004B4D19" w:rsidRDefault="000C5D8A" w:rsidP="00B812EB">
            <w:pPr>
              <w:rPr>
                <w:sz w:val="19"/>
                <w:szCs w:val="19"/>
              </w:rPr>
            </w:pPr>
            <w:r>
              <w:rPr>
                <w:sz w:val="19"/>
                <w:szCs w:val="19"/>
              </w:rPr>
              <w:t>1</w:t>
            </w:r>
          </w:p>
        </w:tc>
        <w:tc>
          <w:tcPr>
            <w:tcW w:w="56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3</w:t>
            </w:r>
          </w:p>
        </w:tc>
        <w:tc>
          <w:tcPr>
            <w:tcW w:w="39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677"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900" w:type="dxa"/>
            <w:tcBorders>
              <w:top w:val="single" w:sz="4" w:space="0" w:color="auto"/>
              <w:left w:val="single" w:sz="4" w:space="0" w:color="auto"/>
              <w:bottom w:val="single" w:sz="4" w:space="0" w:color="auto"/>
              <w:right w:val="single" w:sz="4" w:space="0" w:color="auto"/>
            </w:tcBorders>
          </w:tcPr>
          <w:p w:rsidR="006F0989" w:rsidRPr="004B4D19" w:rsidRDefault="006F0989" w:rsidP="00B812EB">
            <w:pPr>
              <w:rPr>
                <w:sz w:val="19"/>
                <w:szCs w:val="19"/>
              </w:rPr>
            </w:pPr>
            <w:r w:rsidRPr="004B4D19">
              <w:rPr>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6F0989" w:rsidRPr="004B4D19" w:rsidRDefault="000C5D8A" w:rsidP="00B812EB">
            <w:pPr>
              <w:rPr>
                <w:sz w:val="19"/>
                <w:szCs w:val="19"/>
              </w:rPr>
            </w:pPr>
            <w:r>
              <w:rPr>
                <w:sz w:val="19"/>
                <w:szCs w:val="19"/>
              </w:rPr>
              <w:t>71</w:t>
            </w:r>
          </w:p>
        </w:tc>
        <w:tc>
          <w:tcPr>
            <w:tcW w:w="454" w:type="dxa"/>
            <w:tcBorders>
              <w:top w:val="single" w:sz="4" w:space="0" w:color="auto"/>
              <w:left w:val="single" w:sz="4" w:space="0" w:color="auto"/>
              <w:bottom w:val="single" w:sz="4" w:space="0" w:color="auto"/>
              <w:right w:val="single" w:sz="4" w:space="0" w:color="auto"/>
            </w:tcBorders>
          </w:tcPr>
          <w:p w:rsidR="006F0989" w:rsidRPr="004B4D19" w:rsidRDefault="000C5D8A" w:rsidP="00C130B7">
            <w:pPr>
              <w:rPr>
                <w:sz w:val="19"/>
                <w:szCs w:val="19"/>
              </w:rPr>
            </w:pPr>
            <w:r>
              <w:rPr>
                <w:sz w:val="19"/>
                <w:szCs w:val="19"/>
              </w:rPr>
              <w:t>1</w:t>
            </w:r>
            <w:r>
              <w:rPr>
                <w:rStyle w:val="FootnoteReference"/>
                <w:sz w:val="19"/>
                <w:szCs w:val="19"/>
              </w:rPr>
              <w:footnoteReference w:id="4"/>
            </w:r>
          </w:p>
        </w:tc>
        <w:tc>
          <w:tcPr>
            <w:tcW w:w="964" w:type="dxa"/>
            <w:tcBorders>
              <w:top w:val="single" w:sz="4" w:space="0" w:color="auto"/>
              <w:left w:val="single" w:sz="4" w:space="0" w:color="auto"/>
              <w:bottom w:val="single" w:sz="4" w:space="0" w:color="auto"/>
              <w:right w:val="single" w:sz="4" w:space="0" w:color="auto"/>
            </w:tcBorders>
          </w:tcPr>
          <w:p w:rsidR="006F0989" w:rsidRPr="004B4D19" w:rsidRDefault="00C130B7" w:rsidP="00B812EB">
            <w:pPr>
              <w:rPr>
                <w:sz w:val="19"/>
                <w:szCs w:val="19"/>
              </w:rPr>
            </w:pPr>
            <w:r>
              <w:rPr>
                <w:sz w:val="19"/>
                <w:szCs w:val="19"/>
              </w:rPr>
              <w:t>6</w:t>
            </w:r>
          </w:p>
        </w:tc>
        <w:tc>
          <w:tcPr>
            <w:tcW w:w="624" w:type="dxa"/>
            <w:tcBorders>
              <w:top w:val="single" w:sz="4" w:space="0" w:color="auto"/>
              <w:left w:val="single" w:sz="4" w:space="0" w:color="auto"/>
              <w:bottom w:val="single" w:sz="4" w:space="0" w:color="auto"/>
              <w:right w:val="single" w:sz="4" w:space="0" w:color="auto"/>
            </w:tcBorders>
          </w:tcPr>
          <w:p w:rsidR="006F0989" w:rsidRPr="004B4D19" w:rsidRDefault="00C130B7" w:rsidP="00B812EB">
            <w:pPr>
              <w:rPr>
                <w:sz w:val="19"/>
                <w:szCs w:val="19"/>
              </w:rPr>
            </w:pPr>
            <w:r>
              <w:rPr>
                <w:sz w:val="19"/>
                <w:szCs w:val="19"/>
              </w:rPr>
              <w:t>8</w:t>
            </w:r>
            <w:r w:rsidR="000C5D8A">
              <w:rPr>
                <w:sz w:val="19"/>
                <w:szCs w:val="19"/>
              </w:rPr>
              <w:t>7</w:t>
            </w:r>
          </w:p>
        </w:tc>
      </w:tr>
      <w:tr w:rsidR="00555EFE" w:rsidRPr="004B4D19" w:rsidTr="00B812EB">
        <w:tc>
          <w:tcPr>
            <w:tcW w:w="1273" w:type="dxa"/>
            <w:tcBorders>
              <w:top w:val="single" w:sz="4" w:space="0" w:color="auto"/>
              <w:left w:val="single" w:sz="4" w:space="0" w:color="auto"/>
              <w:bottom w:val="single" w:sz="4" w:space="0" w:color="auto"/>
              <w:right w:val="single" w:sz="4" w:space="0" w:color="auto"/>
            </w:tcBorders>
          </w:tcPr>
          <w:p w:rsidR="00555EFE" w:rsidRPr="004B4D19" w:rsidRDefault="00555EFE" w:rsidP="00B812EB">
            <w:pPr>
              <w:rPr>
                <w:sz w:val="19"/>
                <w:szCs w:val="19"/>
              </w:rPr>
            </w:pPr>
            <w:r>
              <w:rPr>
                <w:sz w:val="19"/>
                <w:szCs w:val="19"/>
              </w:rPr>
              <w:t>9-2017</w:t>
            </w:r>
          </w:p>
        </w:tc>
        <w:tc>
          <w:tcPr>
            <w:tcW w:w="567" w:type="dxa"/>
            <w:tcBorders>
              <w:top w:val="single" w:sz="4" w:space="0" w:color="auto"/>
              <w:left w:val="single" w:sz="4" w:space="0" w:color="auto"/>
              <w:bottom w:val="single" w:sz="4" w:space="0" w:color="auto"/>
              <w:right w:val="single" w:sz="4" w:space="0" w:color="auto"/>
            </w:tcBorders>
          </w:tcPr>
          <w:p w:rsidR="00555EFE" w:rsidRPr="004B4D19" w:rsidRDefault="00555EFE" w:rsidP="00B812EB">
            <w:pPr>
              <w:rPr>
                <w:sz w:val="19"/>
                <w:szCs w:val="19"/>
              </w:rPr>
            </w:pPr>
            <w:r>
              <w:rPr>
                <w:sz w:val="19"/>
                <w:szCs w:val="19"/>
              </w:rPr>
              <w:t>87</w:t>
            </w:r>
          </w:p>
        </w:tc>
        <w:tc>
          <w:tcPr>
            <w:tcW w:w="567" w:type="dxa"/>
            <w:tcBorders>
              <w:top w:val="single" w:sz="4" w:space="0" w:color="auto"/>
              <w:left w:val="single" w:sz="4" w:space="0" w:color="auto"/>
              <w:bottom w:val="single" w:sz="4" w:space="0" w:color="auto"/>
              <w:right w:val="single" w:sz="4" w:space="0" w:color="auto"/>
            </w:tcBorders>
          </w:tcPr>
          <w:p w:rsidR="00555EFE" w:rsidRDefault="00555EFE" w:rsidP="00B812EB">
            <w:pPr>
              <w:rPr>
                <w:sz w:val="19"/>
                <w:szCs w:val="19"/>
              </w:rPr>
            </w:pPr>
            <w:r>
              <w:rPr>
                <w:sz w:val="19"/>
                <w:szCs w:val="19"/>
              </w:rPr>
              <w:t>46</w:t>
            </w:r>
          </w:p>
        </w:tc>
        <w:tc>
          <w:tcPr>
            <w:tcW w:w="56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55EFE" w:rsidRDefault="00555EFE" w:rsidP="00B812EB">
            <w:pPr>
              <w:rPr>
                <w:sz w:val="19"/>
                <w:szCs w:val="19"/>
              </w:rPr>
            </w:pPr>
            <w:r>
              <w:rPr>
                <w:sz w:val="19"/>
                <w:szCs w:val="19"/>
              </w:rPr>
              <w:t>0</w:t>
            </w:r>
          </w:p>
        </w:tc>
        <w:tc>
          <w:tcPr>
            <w:tcW w:w="55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555EFE" w:rsidRDefault="00555EFE" w:rsidP="00B812EB">
            <w:pPr>
              <w:rPr>
                <w:sz w:val="19"/>
                <w:szCs w:val="19"/>
              </w:rPr>
            </w:pPr>
            <w:r>
              <w:rPr>
                <w:sz w:val="19"/>
                <w:szCs w:val="19"/>
              </w:rPr>
              <w:t>0</w:t>
            </w:r>
          </w:p>
        </w:tc>
        <w:tc>
          <w:tcPr>
            <w:tcW w:w="864" w:type="dxa"/>
            <w:tcBorders>
              <w:top w:val="single" w:sz="4" w:space="0" w:color="auto"/>
              <w:left w:val="single" w:sz="4" w:space="0" w:color="auto"/>
              <w:bottom w:val="single" w:sz="4" w:space="0" w:color="auto"/>
              <w:right w:val="single" w:sz="4" w:space="0" w:color="auto"/>
            </w:tcBorders>
          </w:tcPr>
          <w:p w:rsidR="00555EFE" w:rsidRDefault="00555EFE" w:rsidP="00B812EB">
            <w:pPr>
              <w:rPr>
                <w:sz w:val="19"/>
                <w:szCs w:val="19"/>
              </w:rPr>
            </w:pPr>
            <w:r>
              <w:rPr>
                <w:sz w:val="19"/>
                <w:szCs w:val="19"/>
              </w:rPr>
              <w:t>0</w:t>
            </w:r>
          </w:p>
        </w:tc>
        <w:tc>
          <w:tcPr>
            <w:tcW w:w="567" w:type="dxa"/>
            <w:tcBorders>
              <w:top w:val="single" w:sz="4" w:space="0" w:color="auto"/>
              <w:left w:val="single" w:sz="4" w:space="0" w:color="auto"/>
              <w:bottom w:val="single" w:sz="4" w:space="0" w:color="auto"/>
              <w:right w:val="single" w:sz="4" w:space="0" w:color="auto"/>
            </w:tcBorders>
          </w:tcPr>
          <w:p w:rsidR="00555EFE" w:rsidRPr="004B4D19" w:rsidRDefault="00555EFE" w:rsidP="00B812EB">
            <w:pPr>
              <w:rPr>
                <w:sz w:val="19"/>
                <w:szCs w:val="19"/>
              </w:rPr>
            </w:pPr>
            <w:r>
              <w:rPr>
                <w:sz w:val="19"/>
                <w:szCs w:val="19"/>
              </w:rPr>
              <w:t>0</w:t>
            </w:r>
          </w:p>
        </w:tc>
        <w:tc>
          <w:tcPr>
            <w:tcW w:w="396" w:type="dxa"/>
            <w:tcBorders>
              <w:top w:val="single" w:sz="4" w:space="0" w:color="auto"/>
              <w:left w:val="single" w:sz="4" w:space="0" w:color="auto"/>
              <w:bottom w:val="single" w:sz="4" w:space="0" w:color="auto"/>
              <w:right w:val="single" w:sz="4" w:space="0" w:color="auto"/>
            </w:tcBorders>
          </w:tcPr>
          <w:p w:rsidR="00555EFE" w:rsidRPr="004B4D19" w:rsidRDefault="00555EFE" w:rsidP="00B812EB">
            <w:pPr>
              <w:rPr>
                <w:sz w:val="19"/>
                <w:szCs w:val="19"/>
              </w:rPr>
            </w:pPr>
            <w:r>
              <w:rPr>
                <w:sz w:val="19"/>
                <w:szCs w:val="19"/>
              </w:rPr>
              <w:t>0</w:t>
            </w:r>
          </w:p>
        </w:tc>
        <w:tc>
          <w:tcPr>
            <w:tcW w:w="1276" w:type="dxa"/>
            <w:tcBorders>
              <w:top w:val="single" w:sz="4" w:space="0" w:color="auto"/>
              <w:left w:val="single" w:sz="4" w:space="0" w:color="auto"/>
              <w:bottom w:val="single" w:sz="4" w:space="0" w:color="auto"/>
              <w:right w:val="single" w:sz="4" w:space="0" w:color="auto"/>
            </w:tcBorders>
          </w:tcPr>
          <w:p w:rsidR="00555EFE" w:rsidRPr="004B4D19" w:rsidRDefault="00555EFE" w:rsidP="00B812EB">
            <w:pPr>
              <w:rPr>
                <w:sz w:val="19"/>
                <w:szCs w:val="19"/>
              </w:rPr>
            </w:pPr>
            <w:r>
              <w:rPr>
                <w:sz w:val="19"/>
                <w:szCs w:val="19"/>
              </w:rPr>
              <w:t>0</w:t>
            </w:r>
          </w:p>
        </w:tc>
        <w:tc>
          <w:tcPr>
            <w:tcW w:w="677" w:type="dxa"/>
            <w:tcBorders>
              <w:top w:val="single" w:sz="4" w:space="0" w:color="auto"/>
              <w:left w:val="single" w:sz="4" w:space="0" w:color="auto"/>
              <w:bottom w:val="single" w:sz="4" w:space="0" w:color="auto"/>
              <w:right w:val="single" w:sz="4" w:space="0" w:color="auto"/>
            </w:tcBorders>
          </w:tcPr>
          <w:p w:rsidR="00555EFE" w:rsidRPr="004B4D19" w:rsidRDefault="00555EFE" w:rsidP="00B812EB">
            <w:pPr>
              <w:rPr>
                <w:sz w:val="19"/>
                <w:szCs w:val="19"/>
              </w:rPr>
            </w:pPr>
            <w:r>
              <w:rPr>
                <w:sz w:val="19"/>
                <w:szCs w:val="19"/>
              </w:rPr>
              <w:t>0</w:t>
            </w:r>
          </w:p>
        </w:tc>
        <w:tc>
          <w:tcPr>
            <w:tcW w:w="900" w:type="dxa"/>
            <w:tcBorders>
              <w:top w:val="single" w:sz="4" w:space="0" w:color="auto"/>
              <w:left w:val="single" w:sz="4" w:space="0" w:color="auto"/>
              <w:bottom w:val="single" w:sz="4" w:space="0" w:color="auto"/>
              <w:right w:val="single" w:sz="4" w:space="0" w:color="auto"/>
            </w:tcBorders>
          </w:tcPr>
          <w:p w:rsidR="00555EFE" w:rsidRPr="004B4D19" w:rsidRDefault="00555EFE" w:rsidP="00B812EB">
            <w:pPr>
              <w:rPr>
                <w:sz w:val="19"/>
                <w:szCs w:val="19"/>
              </w:rPr>
            </w:pPr>
            <w:r>
              <w:rPr>
                <w:sz w:val="19"/>
                <w:szCs w:val="19"/>
              </w:rPr>
              <w:t>0</w:t>
            </w:r>
          </w:p>
        </w:tc>
        <w:tc>
          <w:tcPr>
            <w:tcW w:w="538" w:type="dxa"/>
            <w:tcBorders>
              <w:top w:val="single" w:sz="4" w:space="0" w:color="auto"/>
              <w:left w:val="single" w:sz="4" w:space="0" w:color="auto"/>
              <w:bottom w:val="single" w:sz="4" w:space="0" w:color="auto"/>
              <w:right w:val="single" w:sz="4" w:space="0" w:color="auto"/>
            </w:tcBorders>
          </w:tcPr>
          <w:p w:rsidR="00555EFE" w:rsidRDefault="00555EFE" w:rsidP="00B812EB">
            <w:pPr>
              <w:rPr>
                <w:sz w:val="19"/>
                <w:szCs w:val="19"/>
              </w:rPr>
            </w:pPr>
            <w:r>
              <w:rPr>
                <w:sz w:val="19"/>
                <w:szCs w:val="19"/>
              </w:rPr>
              <w:t>0</w:t>
            </w:r>
          </w:p>
        </w:tc>
        <w:tc>
          <w:tcPr>
            <w:tcW w:w="454" w:type="dxa"/>
            <w:tcBorders>
              <w:top w:val="single" w:sz="4" w:space="0" w:color="auto"/>
              <w:left w:val="single" w:sz="4" w:space="0" w:color="auto"/>
              <w:bottom w:val="single" w:sz="4" w:space="0" w:color="auto"/>
              <w:right w:val="single" w:sz="4" w:space="0" w:color="auto"/>
            </w:tcBorders>
          </w:tcPr>
          <w:p w:rsidR="00555EFE" w:rsidRDefault="00555EFE" w:rsidP="00C130B7">
            <w:pPr>
              <w:rPr>
                <w:sz w:val="19"/>
                <w:szCs w:val="19"/>
              </w:rPr>
            </w:pPr>
            <w:r>
              <w:rPr>
                <w:sz w:val="19"/>
                <w:szCs w:val="19"/>
              </w:rPr>
              <w:t>0</w:t>
            </w:r>
          </w:p>
        </w:tc>
        <w:tc>
          <w:tcPr>
            <w:tcW w:w="964" w:type="dxa"/>
            <w:tcBorders>
              <w:top w:val="single" w:sz="4" w:space="0" w:color="auto"/>
              <w:left w:val="single" w:sz="4" w:space="0" w:color="auto"/>
              <w:bottom w:val="single" w:sz="4" w:space="0" w:color="auto"/>
              <w:right w:val="single" w:sz="4" w:space="0" w:color="auto"/>
            </w:tcBorders>
          </w:tcPr>
          <w:p w:rsidR="00555EFE" w:rsidRDefault="00555EFE" w:rsidP="00B812EB">
            <w:pPr>
              <w:rPr>
                <w:sz w:val="19"/>
                <w:szCs w:val="19"/>
              </w:rPr>
            </w:pPr>
            <w:r>
              <w:rPr>
                <w:sz w:val="19"/>
                <w:szCs w:val="19"/>
              </w:rPr>
              <w:t>0</w:t>
            </w:r>
          </w:p>
        </w:tc>
        <w:tc>
          <w:tcPr>
            <w:tcW w:w="624" w:type="dxa"/>
            <w:tcBorders>
              <w:top w:val="single" w:sz="4" w:space="0" w:color="auto"/>
              <w:left w:val="single" w:sz="4" w:space="0" w:color="auto"/>
              <w:bottom w:val="single" w:sz="4" w:space="0" w:color="auto"/>
              <w:right w:val="single" w:sz="4" w:space="0" w:color="auto"/>
            </w:tcBorders>
          </w:tcPr>
          <w:p w:rsidR="00555EFE" w:rsidRDefault="00555EFE" w:rsidP="00B812EB">
            <w:pPr>
              <w:rPr>
                <w:sz w:val="19"/>
                <w:szCs w:val="19"/>
              </w:rPr>
            </w:pPr>
            <w:r>
              <w:rPr>
                <w:sz w:val="19"/>
                <w:szCs w:val="19"/>
              </w:rPr>
              <w:t>67</w:t>
            </w:r>
          </w:p>
        </w:tc>
      </w:tr>
      <w:tr w:rsidR="006F0989" w:rsidRPr="004B4D19" w:rsidTr="00B812EB">
        <w:tc>
          <w:tcPr>
            <w:tcW w:w="1273"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6F0989" w:rsidRPr="004B4D19" w:rsidRDefault="006F0989" w:rsidP="00B812EB">
            <w:pPr>
              <w:rPr>
                <w:color w:val="FFFFFF" w:themeColor="background1"/>
                <w:sz w:val="19"/>
                <w:szCs w:val="19"/>
              </w:rPr>
            </w:pPr>
            <w:r w:rsidRPr="004B4D19">
              <w:rPr>
                <w:b/>
                <w:color w:val="FFFFFF" w:themeColor="background1"/>
                <w:sz w:val="19"/>
                <w:szCs w:val="19"/>
              </w:rPr>
              <w:t>ОБЩО</w:t>
            </w:r>
            <w:r w:rsidRPr="004B4D19">
              <w:rPr>
                <w:color w:val="FFFFFF" w:themeColor="background1"/>
                <w:sz w:val="19"/>
                <w:szCs w:val="19"/>
              </w:rPr>
              <w:t xml:space="preserve"> </w:t>
            </w:r>
          </w:p>
          <w:p w:rsidR="006F0989" w:rsidRPr="004B4D19" w:rsidRDefault="006F0989" w:rsidP="00B812EB">
            <w:pPr>
              <w:rPr>
                <w:color w:val="FFFFFF" w:themeColor="background1"/>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6F0989" w:rsidP="00B812EB">
            <w:pPr>
              <w:rPr>
                <w:color w:val="FFFFFF" w:themeColor="background1"/>
                <w:sz w:val="19"/>
                <w:szCs w:val="19"/>
              </w:rPr>
            </w:pPr>
            <w:r w:rsidRPr="004B4D19">
              <w:rPr>
                <w:color w:val="FFFFFF" w:themeColor="background1"/>
                <w:sz w:val="19"/>
                <w:szCs w:val="19"/>
              </w:rPr>
              <w:t>4</w:t>
            </w:r>
          </w:p>
        </w:tc>
        <w:tc>
          <w:tcPr>
            <w:tcW w:w="567"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555EFE" w:rsidP="00B812EB">
            <w:pPr>
              <w:rPr>
                <w:color w:val="FFFFFF" w:themeColor="background1"/>
                <w:sz w:val="19"/>
                <w:szCs w:val="19"/>
              </w:rPr>
            </w:pPr>
            <w:r>
              <w:rPr>
                <w:color w:val="FFFFFF" w:themeColor="background1"/>
                <w:sz w:val="19"/>
                <w:szCs w:val="19"/>
              </w:rPr>
              <w:t>411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0C5D8A" w:rsidP="00B812EB">
            <w:pPr>
              <w:rPr>
                <w:color w:val="FFFFFF" w:themeColor="background1"/>
                <w:sz w:val="19"/>
                <w:szCs w:val="19"/>
              </w:rPr>
            </w:pPr>
            <w:r>
              <w:rPr>
                <w:color w:val="FFFFFF" w:themeColor="background1"/>
                <w:sz w:val="19"/>
                <w:szCs w:val="19"/>
              </w:rPr>
              <w:t>285</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6F0989" w:rsidP="000C5D8A">
            <w:pPr>
              <w:rPr>
                <w:color w:val="FFFFFF" w:themeColor="background1"/>
                <w:sz w:val="19"/>
                <w:szCs w:val="19"/>
              </w:rPr>
            </w:pPr>
            <w:r w:rsidRPr="004B4D19">
              <w:rPr>
                <w:color w:val="FFFFFF" w:themeColor="background1"/>
                <w:sz w:val="19"/>
                <w:szCs w:val="19"/>
              </w:rPr>
              <w:t>1</w:t>
            </w:r>
            <w:r w:rsidR="000C5D8A">
              <w:rPr>
                <w:color w:val="FFFFFF" w:themeColor="background1"/>
                <w:sz w:val="19"/>
                <w:szCs w:val="19"/>
              </w:rPr>
              <w:t>3</w:t>
            </w:r>
          </w:p>
        </w:tc>
        <w:tc>
          <w:tcPr>
            <w:tcW w:w="86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0C5D8A" w:rsidP="00B812EB">
            <w:pPr>
              <w:rPr>
                <w:color w:val="FFFFFF" w:themeColor="background1"/>
                <w:sz w:val="19"/>
                <w:szCs w:val="19"/>
              </w:rPr>
            </w:pPr>
            <w:r>
              <w:rPr>
                <w:color w:val="FFFFFF" w:themeColor="background1"/>
                <w:sz w:val="19"/>
                <w:szCs w:val="19"/>
              </w:rPr>
              <w:t>7</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6F0989" w:rsidP="00B812EB">
            <w:pPr>
              <w:rPr>
                <w:color w:val="FFFFFF" w:themeColor="background1"/>
                <w:sz w:val="19"/>
                <w:szCs w:val="19"/>
              </w:rPr>
            </w:pPr>
            <w:r w:rsidRPr="004B4D19">
              <w:rPr>
                <w:color w:val="FFFFFF" w:themeColor="background1"/>
                <w:sz w:val="19"/>
                <w:szCs w:val="19"/>
              </w:rPr>
              <w:t>4</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6F0989" w:rsidP="00B812EB">
            <w:pPr>
              <w:rPr>
                <w:color w:val="FFFFFF" w:themeColor="background1"/>
                <w:sz w:val="19"/>
                <w:szCs w:val="19"/>
              </w:rPr>
            </w:pPr>
          </w:p>
        </w:tc>
        <w:tc>
          <w:tcPr>
            <w:tcW w:w="1276" w:type="dxa"/>
            <w:vMerge w:val="restart"/>
            <w:tcBorders>
              <w:top w:val="single" w:sz="4" w:space="0" w:color="auto"/>
              <w:left w:val="single" w:sz="4" w:space="0" w:color="auto"/>
              <w:right w:val="single" w:sz="4" w:space="0" w:color="auto"/>
            </w:tcBorders>
            <w:shd w:val="clear" w:color="auto" w:fill="4F6228" w:themeFill="accent3" w:themeFillShade="80"/>
          </w:tcPr>
          <w:p w:rsidR="006F0989" w:rsidRPr="004B4D19" w:rsidRDefault="006F0989" w:rsidP="00B812EB">
            <w:pPr>
              <w:rPr>
                <w:color w:val="FFFFFF" w:themeColor="background1"/>
                <w:sz w:val="19"/>
                <w:szCs w:val="19"/>
              </w:rPr>
            </w:pPr>
          </w:p>
        </w:tc>
        <w:tc>
          <w:tcPr>
            <w:tcW w:w="677" w:type="dxa"/>
            <w:vMerge w:val="restart"/>
            <w:tcBorders>
              <w:top w:val="single" w:sz="4" w:space="0" w:color="auto"/>
              <w:left w:val="single" w:sz="4" w:space="0" w:color="auto"/>
              <w:right w:val="single" w:sz="4" w:space="0" w:color="auto"/>
            </w:tcBorders>
            <w:shd w:val="clear" w:color="auto" w:fill="4F6228" w:themeFill="accent3" w:themeFillShade="80"/>
          </w:tcPr>
          <w:p w:rsidR="006F0989" w:rsidRPr="004B4D19" w:rsidRDefault="006F0989" w:rsidP="00B812EB">
            <w:pPr>
              <w:rPr>
                <w:color w:val="FFFFFF" w:themeColor="background1"/>
                <w:sz w:val="19"/>
                <w:szCs w:val="19"/>
              </w:rPr>
            </w:pPr>
            <w:r w:rsidRPr="004B4D19">
              <w:rPr>
                <w:color w:val="FFFFFF" w:themeColor="background1"/>
                <w:sz w:val="19"/>
                <w:szCs w:val="19"/>
              </w:rPr>
              <w:t>2</w:t>
            </w:r>
          </w:p>
        </w:tc>
        <w:tc>
          <w:tcPr>
            <w:tcW w:w="900" w:type="dxa"/>
            <w:vMerge w:val="restart"/>
            <w:tcBorders>
              <w:top w:val="single" w:sz="4" w:space="0" w:color="auto"/>
              <w:left w:val="single" w:sz="4" w:space="0" w:color="auto"/>
              <w:right w:val="single" w:sz="4" w:space="0" w:color="auto"/>
            </w:tcBorders>
            <w:shd w:val="clear" w:color="auto" w:fill="4F6228" w:themeFill="accent3" w:themeFillShade="80"/>
          </w:tcPr>
          <w:p w:rsidR="006F0989" w:rsidRPr="004B4D19" w:rsidRDefault="006F0989" w:rsidP="00B812EB">
            <w:pPr>
              <w:rPr>
                <w:color w:val="FFFFFF" w:themeColor="background1"/>
                <w:sz w:val="19"/>
                <w:szCs w:val="19"/>
              </w:rPr>
            </w:pPr>
          </w:p>
        </w:tc>
        <w:tc>
          <w:tcPr>
            <w:tcW w:w="538"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B812EB" w:rsidP="00B812EB">
            <w:pPr>
              <w:rPr>
                <w:color w:val="FFFFFF" w:themeColor="background1"/>
                <w:sz w:val="19"/>
                <w:szCs w:val="19"/>
              </w:rPr>
            </w:pPr>
            <w:r>
              <w:rPr>
                <w:color w:val="FFFFFF" w:themeColor="background1"/>
                <w:sz w:val="19"/>
                <w:szCs w:val="19"/>
              </w:rPr>
              <w:t>26</w:t>
            </w:r>
            <w:r w:rsidR="000C5D8A">
              <w:rPr>
                <w:color w:val="FFFFFF" w:themeColor="background1"/>
                <w:sz w:val="19"/>
                <w:szCs w:val="19"/>
              </w:rPr>
              <w:t>9</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0C5D8A" w:rsidP="00B812EB">
            <w:pPr>
              <w:rPr>
                <w:color w:val="FFFFFF" w:themeColor="background1"/>
                <w:sz w:val="19"/>
                <w:szCs w:val="19"/>
              </w:rPr>
            </w:pPr>
            <w:r>
              <w:rPr>
                <w:color w:val="FFFFFF" w:themeColor="background1"/>
                <w:sz w:val="19"/>
                <w:szCs w:val="19"/>
              </w:rPr>
              <w:t>3</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C130B7" w:rsidP="00B812EB">
            <w:pPr>
              <w:rPr>
                <w:color w:val="FFFFFF" w:themeColor="background1"/>
                <w:sz w:val="19"/>
                <w:szCs w:val="19"/>
              </w:rPr>
            </w:pPr>
            <w:r>
              <w:rPr>
                <w:color w:val="FFFFFF" w:themeColor="background1"/>
                <w:sz w:val="19"/>
                <w:szCs w:val="19"/>
              </w:rPr>
              <w:t>6</w:t>
            </w:r>
          </w:p>
        </w:tc>
        <w:tc>
          <w:tcPr>
            <w:tcW w:w="624" w:type="dxa"/>
            <w:vMerge w:val="restart"/>
            <w:tcBorders>
              <w:top w:val="single" w:sz="4" w:space="0" w:color="auto"/>
              <w:left w:val="single" w:sz="4" w:space="0" w:color="auto"/>
              <w:bottom w:val="single" w:sz="4" w:space="0" w:color="auto"/>
              <w:right w:val="single" w:sz="4" w:space="0" w:color="auto"/>
            </w:tcBorders>
            <w:shd w:val="clear" w:color="auto" w:fill="4F6228" w:themeFill="accent3" w:themeFillShade="80"/>
          </w:tcPr>
          <w:p w:rsidR="006F0989" w:rsidRPr="004B4D19" w:rsidRDefault="00555EFE" w:rsidP="00B812EB">
            <w:pPr>
              <w:rPr>
                <w:color w:val="FFFFFF" w:themeColor="background1"/>
                <w:sz w:val="19"/>
                <w:szCs w:val="19"/>
              </w:rPr>
            </w:pPr>
            <w:r>
              <w:rPr>
                <w:color w:val="FFFFFF" w:themeColor="background1"/>
                <w:sz w:val="19"/>
                <w:szCs w:val="19"/>
              </w:rPr>
              <w:t>6</w:t>
            </w:r>
            <w:r w:rsidR="000C5D8A">
              <w:rPr>
                <w:color w:val="FFFFFF" w:themeColor="background1"/>
                <w:sz w:val="19"/>
                <w:szCs w:val="19"/>
              </w:rPr>
              <w:t>7</w:t>
            </w:r>
          </w:p>
        </w:tc>
      </w:tr>
      <w:tr w:rsidR="006F0989" w:rsidRPr="004B4D19" w:rsidTr="00B812EB">
        <w:tc>
          <w:tcPr>
            <w:tcW w:w="1273" w:type="dxa"/>
            <w:vMerge/>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hideMark/>
          </w:tcPr>
          <w:p w:rsidR="006F0989" w:rsidRPr="004B4D19" w:rsidRDefault="006F0989" w:rsidP="00B812EB">
            <w:pPr>
              <w:rPr>
                <w:color w:val="FFFFFF" w:themeColor="background1"/>
                <w:sz w:val="19"/>
                <w:szCs w:val="19"/>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hideMark/>
          </w:tcPr>
          <w:p w:rsidR="006F0989" w:rsidRPr="004B4D19" w:rsidRDefault="00555EFE" w:rsidP="00B812EB">
            <w:pPr>
              <w:jc w:val="center"/>
              <w:rPr>
                <w:b/>
                <w:color w:val="FFFFFF" w:themeColor="background1"/>
                <w:sz w:val="19"/>
                <w:szCs w:val="19"/>
              </w:rPr>
            </w:pPr>
            <w:r>
              <w:rPr>
                <w:b/>
                <w:color w:val="FFFFFF" w:themeColor="background1"/>
                <w:sz w:val="19"/>
                <w:szCs w:val="19"/>
              </w:rPr>
              <w:t>415</w:t>
            </w:r>
            <w:bookmarkStart w:id="0" w:name="_GoBack"/>
            <w:bookmarkEnd w:id="0"/>
          </w:p>
        </w:tc>
        <w:tc>
          <w:tcPr>
            <w:tcW w:w="567"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color w:val="FFFFFF" w:themeColor="background1"/>
                <w:sz w:val="19"/>
                <w:szCs w:val="19"/>
                <w:u w:val="single"/>
              </w:rPr>
            </w:pPr>
          </w:p>
        </w:tc>
        <w:tc>
          <w:tcPr>
            <w:tcW w:w="554"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c>
          <w:tcPr>
            <w:tcW w:w="864"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color w:val="FFFFFF" w:themeColor="background1"/>
                <w:sz w:val="19"/>
                <w:szCs w:val="19"/>
                <w:u w:val="single"/>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c>
          <w:tcPr>
            <w:tcW w:w="1276" w:type="dxa"/>
            <w:vMerge/>
            <w:tcBorders>
              <w:left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c>
          <w:tcPr>
            <w:tcW w:w="677" w:type="dxa"/>
            <w:vMerge/>
            <w:tcBorders>
              <w:left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c>
          <w:tcPr>
            <w:tcW w:w="900" w:type="dxa"/>
            <w:vMerge/>
            <w:tcBorders>
              <w:left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c>
          <w:tcPr>
            <w:tcW w:w="538"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c>
          <w:tcPr>
            <w:tcW w:w="964"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c>
          <w:tcPr>
            <w:tcW w:w="624" w:type="dxa"/>
            <w:vMerge/>
            <w:tcBorders>
              <w:top w:val="single" w:sz="4" w:space="0" w:color="auto"/>
              <w:left w:val="single" w:sz="4" w:space="0" w:color="auto"/>
              <w:bottom w:val="single" w:sz="4" w:space="0" w:color="auto"/>
              <w:right w:val="single" w:sz="4" w:space="0" w:color="auto"/>
            </w:tcBorders>
            <w:vAlign w:val="center"/>
          </w:tcPr>
          <w:p w:rsidR="006F0989" w:rsidRPr="004B4D19" w:rsidRDefault="006F0989" w:rsidP="00B812EB">
            <w:pPr>
              <w:rPr>
                <w:color w:val="FFFFFF" w:themeColor="background1"/>
                <w:sz w:val="19"/>
                <w:szCs w:val="19"/>
              </w:rPr>
            </w:pPr>
          </w:p>
        </w:tc>
      </w:tr>
    </w:tbl>
    <w:p w:rsidR="00270539" w:rsidRPr="004B4D19" w:rsidRDefault="00270539" w:rsidP="004F3691">
      <w:pPr>
        <w:pStyle w:val="ListParagraph"/>
        <w:ind w:left="0" w:firstLine="708"/>
        <w:jc w:val="both"/>
        <w:rPr>
          <w:sz w:val="10"/>
          <w:szCs w:val="10"/>
        </w:rPr>
      </w:pPr>
    </w:p>
    <w:p w:rsidR="005C32AF" w:rsidRPr="004B4D19" w:rsidRDefault="005C32AF" w:rsidP="005C32AF">
      <w:pPr>
        <w:pStyle w:val="ListParagraph"/>
        <w:ind w:left="1530"/>
        <w:jc w:val="both"/>
        <w:rPr>
          <w:b/>
          <w:sz w:val="12"/>
          <w:szCs w:val="12"/>
        </w:rPr>
      </w:pPr>
    </w:p>
    <w:p w:rsidR="00557647" w:rsidRPr="008B2CAA" w:rsidRDefault="00330DBD" w:rsidP="008B2CAA">
      <w:pPr>
        <w:pStyle w:val="ListParagraph"/>
        <w:numPr>
          <w:ilvl w:val="1"/>
          <w:numId w:val="42"/>
        </w:numPr>
        <w:jc w:val="both"/>
        <w:rPr>
          <w:b/>
          <w:sz w:val="28"/>
          <w:szCs w:val="28"/>
        </w:rPr>
      </w:pPr>
      <w:r w:rsidRPr="008B2CAA">
        <w:rPr>
          <w:b/>
          <w:sz w:val="28"/>
          <w:szCs w:val="28"/>
        </w:rPr>
        <w:t>ДВИЖЕНИЕ НА МОЛБИТЕ</w:t>
      </w:r>
    </w:p>
    <w:p w:rsidR="00A5051C" w:rsidRPr="004B4D19" w:rsidRDefault="00A5051C" w:rsidP="00A5051C">
      <w:pPr>
        <w:pStyle w:val="ListParagraph"/>
        <w:ind w:left="0" w:firstLine="708"/>
        <w:jc w:val="both"/>
        <w:rPr>
          <w:sz w:val="20"/>
          <w:szCs w:val="20"/>
        </w:rPr>
      </w:pPr>
    </w:p>
    <w:p w:rsidR="00557647" w:rsidRPr="004B4D19" w:rsidRDefault="00A5051C" w:rsidP="00A5051C">
      <w:pPr>
        <w:pStyle w:val="ListParagraph"/>
        <w:ind w:left="0" w:firstLine="708"/>
        <w:jc w:val="both"/>
      </w:pPr>
      <w:r w:rsidRPr="004B4D19">
        <w:t>В началото</w:t>
      </w:r>
      <w:r w:rsidR="00A8527B" w:rsidRPr="004B4D19">
        <w:t xml:space="preserve"> на мандата</w:t>
      </w:r>
      <w:r w:rsidR="00557647" w:rsidRPr="004B4D19">
        <w:t xml:space="preserve"> </w:t>
      </w:r>
      <w:r w:rsidR="00A8527B" w:rsidRPr="004B4D19">
        <w:t>се наблюдава</w:t>
      </w:r>
      <w:r w:rsidR="00C16B5C" w:rsidRPr="004B4D19">
        <w:t xml:space="preserve"> </w:t>
      </w:r>
      <w:r w:rsidR="00751387" w:rsidRPr="004B4D19">
        <w:t>леко покачване</w:t>
      </w:r>
      <w:r w:rsidR="00C16B5C" w:rsidRPr="004B4D19">
        <w:t xml:space="preserve"> </w:t>
      </w:r>
      <w:r w:rsidR="00751387" w:rsidRPr="004B4D19">
        <w:t>на</w:t>
      </w:r>
      <w:r w:rsidR="00557647" w:rsidRPr="004B4D19">
        <w:t xml:space="preserve"> </w:t>
      </w:r>
      <w:r w:rsidRPr="004B4D19">
        <w:rPr>
          <w:b/>
        </w:rPr>
        <w:t>средномесечния</w:t>
      </w:r>
      <w:r w:rsidR="00557647" w:rsidRPr="004B4D19">
        <w:rPr>
          <w:b/>
        </w:rPr>
        <w:t xml:space="preserve"> брой на постъпващите молби </w:t>
      </w:r>
      <w:r w:rsidR="00751387" w:rsidRPr="004B4D19">
        <w:t>(</w:t>
      </w:r>
      <w:r w:rsidR="00C75948" w:rsidRPr="004B4D19">
        <w:t>прибл.</w:t>
      </w:r>
      <w:r w:rsidR="00751387" w:rsidRPr="004B4D19">
        <w:t xml:space="preserve"> </w:t>
      </w:r>
      <w:r w:rsidRPr="004B4D19">
        <w:t>6</w:t>
      </w:r>
      <w:r w:rsidR="00C16B5C" w:rsidRPr="004B4D19">
        <w:t>0</w:t>
      </w:r>
      <w:r w:rsidR="00557647" w:rsidRPr="004B4D19">
        <w:t>)</w:t>
      </w:r>
      <w:r w:rsidRPr="004B4D19">
        <w:t>, но като цяло</w:t>
      </w:r>
      <w:r w:rsidR="00557647" w:rsidRPr="004B4D19">
        <w:t xml:space="preserve"> е запазен </w:t>
      </w:r>
      <w:r w:rsidRPr="004B4D19">
        <w:t xml:space="preserve">спрямо </w:t>
      </w:r>
      <w:r w:rsidR="00557647" w:rsidRPr="004B4D19">
        <w:t>п</w:t>
      </w:r>
      <w:r w:rsidR="00685D84" w:rsidRPr="004B4D19">
        <w:t>редходните мандати.</w:t>
      </w:r>
    </w:p>
    <w:p w:rsidR="00557647" w:rsidRPr="004B4D19" w:rsidRDefault="00557647" w:rsidP="00557647">
      <w:pPr>
        <w:pStyle w:val="ListParagraph"/>
        <w:ind w:left="0" w:firstLine="708"/>
        <w:jc w:val="both"/>
      </w:pPr>
      <w:r w:rsidRPr="004B4D19">
        <w:t xml:space="preserve">Броят на решените молби и </w:t>
      </w:r>
      <w:r w:rsidRPr="004B4D19">
        <w:rPr>
          <w:b/>
        </w:rPr>
        <w:t>сроковете за тяхното разглеждане</w:t>
      </w:r>
      <w:r w:rsidRPr="004B4D19">
        <w:t xml:space="preserve"> и решаване </w:t>
      </w:r>
      <w:r w:rsidRPr="004B4D19">
        <w:rPr>
          <w:b/>
        </w:rPr>
        <w:t>зависи от навременното получаване на информация</w:t>
      </w:r>
      <w:r w:rsidRPr="004B4D19">
        <w:t xml:space="preserve">, която Комисията изисква от други държавни органи, най-съществените от които са затворните администрации. </w:t>
      </w:r>
    </w:p>
    <w:p w:rsidR="002D3358" w:rsidRPr="004B4D19" w:rsidRDefault="00DD4578" w:rsidP="00AD5E59">
      <w:pPr>
        <w:pStyle w:val="ListParagraph"/>
        <w:ind w:left="0" w:firstLine="708"/>
        <w:jc w:val="both"/>
      </w:pPr>
      <w:r w:rsidRPr="004B4D19">
        <w:t>И п</w:t>
      </w:r>
      <w:r w:rsidR="00557647" w:rsidRPr="004B4D19">
        <w:t xml:space="preserve">рез </w:t>
      </w:r>
      <w:r w:rsidR="00A8527B" w:rsidRPr="004B4D19">
        <w:t xml:space="preserve">първото </w:t>
      </w:r>
      <w:r w:rsidR="00C75948" w:rsidRPr="004B4D19">
        <w:t>полугодие</w:t>
      </w:r>
      <w:r w:rsidRPr="004B4D19">
        <w:t xml:space="preserve"> на </w:t>
      </w:r>
      <w:r w:rsidR="00557647" w:rsidRPr="004B4D19">
        <w:t>201</w:t>
      </w:r>
      <w:r w:rsidR="00A8527B" w:rsidRPr="004B4D19">
        <w:t>7</w:t>
      </w:r>
      <w:r w:rsidR="00557647" w:rsidRPr="004B4D19">
        <w:t xml:space="preserve"> г. </w:t>
      </w:r>
      <w:r w:rsidR="005B6DF3" w:rsidRPr="004B4D19">
        <w:t xml:space="preserve">постъпването на </w:t>
      </w:r>
      <w:r w:rsidR="00557647" w:rsidRPr="004B4D19">
        <w:t>справките</w:t>
      </w:r>
      <w:r w:rsidR="0063210B" w:rsidRPr="004B4D19">
        <w:t xml:space="preserve"> за осъдените</w:t>
      </w:r>
      <w:r w:rsidR="00557647" w:rsidRPr="004B4D19">
        <w:t xml:space="preserve"> от ГД ,,Изпълнение на наказанията“ към Министерството на правосъдието </w:t>
      </w:r>
      <w:r w:rsidR="005460F0" w:rsidRPr="004B4D19">
        <w:rPr>
          <w:b/>
        </w:rPr>
        <w:t>продължава да е</w:t>
      </w:r>
      <w:r w:rsidR="005B6DF3" w:rsidRPr="004B4D19">
        <w:rPr>
          <w:b/>
        </w:rPr>
        <w:t xml:space="preserve"> неритмично със случаи на необичайна продължителност на сроковете между поискването и получаването на документите</w:t>
      </w:r>
      <w:r w:rsidR="00C130B7">
        <w:rPr>
          <w:rStyle w:val="FootnoteReference"/>
          <w:b/>
        </w:rPr>
        <w:footnoteReference w:id="5"/>
      </w:r>
      <w:r w:rsidR="00557647" w:rsidRPr="004B4D19">
        <w:t xml:space="preserve">. </w:t>
      </w:r>
      <w:r w:rsidR="002D3358" w:rsidRPr="004B4D19">
        <w:t xml:space="preserve">Описаните забавяния са причината броят заварени от КП молби в началото на всеки месец </w:t>
      </w:r>
      <w:r w:rsidR="00C75948" w:rsidRPr="004B4D19">
        <w:t xml:space="preserve">да е висок, </w:t>
      </w:r>
      <w:r w:rsidR="002D3358" w:rsidRPr="004B4D19">
        <w:t>сроковете за р</w:t>
      </w:r>
      <w:r w:rsidR="00C75948" w:rsidRPr="004B4D19">
        <w:t>а</w:t>
      </w:r>
      <w:r w:rsidR="002D3358" w:rsidRPr="004B4D19">
        <w:t>зглеждане на молбите да с</w:t>
      </w:r>
      <w:r w:rsidR="00C130B7">
        <w:t>а по-дълги от обичайните</w:t>
      </w:r>
      <w:r w:rsidR="00C75948" w:rsidRPr="004B4D19">
        <w:t>, а някои молби да се прекратяват поради изтърпяване на наказанието, за което са подадени</w:t>
      </w:r>
      <w:r w:rsidR="00C130B7">
        <w:t>, преди получаване на справката за осъдените</w:t>
      </w:r>
      <w:r w:rsidR="002D3358" w:rsidRPr="004B4D19">
        <w:t>.</w:t>
      </w:r>
    </w:p>
    <w:p w:rsidR="00AD5E59" w:rsidRPr="004B4D19" w:rsidRDefault="002D1421" w:rsidP="00AD5E59">
      <w:pPr>
        <w:pStyle w:val="ListParagraph"/>
        <w:ind w:left="0" w:firstLine="708"/>
        <w:jc w:val="both"/>
        <w:rPr>
          <w:lang w:val="en-US"/>
        </w:rPr>
      </w:pPr>
      <w:r w:rsidRPr="004B4D19">
        <w:lastRenderedPageBreak/>
        <w:t xml:space="preserve">Поради неточности и пропуски в информацията повторно са поискани справки по </w:t>
      </w:r>
      <w:r w:rsidR="00330DBD" w:rsidRPr="004B4D19">
        <w:t>5</w:t>
      </w:r>
      <w:r w:rsidRPr="004B4D19">
        <w:t xml:space="preserve"> случая</w:t>
      </w:r>
      <w:r w:rsidR="00AA19AF" w:rsidRPr="004B4D19">
        <w:t xml:space="preserve">, </w:t>
      </w:r>
      <w:r w:rsidR="00CB7992" w:rsidRPr="004B4D19">
        <w:t xml:space="preserve">по </w:t>
      </w:r>
      <w:r w:rsidR="00C75948" w:rsidRPr="004B4D19">
        <w:t>3 случая</w:t>
      </w:r>
      <w:r w:rsidR="00CB7992" w:rsidRPr="004B4D19">
        <w:t xml:space="preserve"> е проведено</w:t>
      </w:r>
      <w:r w:rsidR="00AA19AF" w:rsidRPr="004B4D19">
        <w:t xml:space="preserve"> изслушване на социален работник в заседание на КП</w:t>
      </w:r>
      <w:r w:rsidR="00C75948" w:rsidRPr="004B4D19">
        <w:t>, за 1 осъден</w:t>
      </w:r>
      <w:r w:rsidR="005C32AF" w:rsidRPr="004B4D19">
        <w:t xml:space="preserve"> е поискана нова оценка на риска от рецидив</w:t>
      </w:r>
      <w:r w:rsidR="00AA19AF" w:rsidRPr="004B4D19">
        <w:t xml:space="preserve">, а по друг </w:t>
      </w:r>
      <w:r w:rsidR="00C75948" w:rsidRPr="004B4D19">
        <w:t xml:space="preserve">случай </w:t>
      </w:r>
      <w:r w:rsidR="00AA19AF" w:rsidRPr="004B4D19">
        <w:t>е проведено посещение на затвора</w:t>
      </w:r>
      <w:r w:rsidR="002D3358" w:rsidRPr="004B4D19">
        <w:t xml:space="preserve">. </w:t>
      </w:r>
    </w:p>
    <w:p w:rsidR="00330DBD" w:rsidRPr="004B4D19" w:rsidRDefault="00330DBD" w:rsidP="00DD4578">
      <w:pPr>
        <w:pStyle w:val="ListParagraph"/>
        <w:ind w:left="0" w:firstLine="708"/>
        <w:jc w:val="both"/>
      </w:pPr>
      <w:r w:rsidRPr="004B4D19">
        <w:t>По един случай за допълнителна информация са сезирани социални и закрилни органи във връзка с установяване на положението и потре</w:t>
      </w:r>
      <w:r w:rsidR="005C32AF" w:rsidRPr="004B4D19">
        <w:t>б</w:t>
      </w:r>
      <w:r w:rsidRPr="004B4D19">
        <w:t>ностите на децата на молителя.</w:t>
      </w:r>
    </w:p>
    <w:p w:rsidR="00081A71" w:rsidRPr="004B4D19" w:rsidRDefault="00081A71" w:rsidP="00726CF7">
      <w:pPr>
        <w:pStyle w:val="ListParagraph"/>
        <w:ind w:left="0" w:firstLine="708"/>
        <w:jc w:val="both"/>
        <w:rPr>
          <w:b/>
          <w:sz w:val="28"/>
          <w:szCs w:val="28"/>
        </w:rPr>
      </w:pPr>
    </w:p>
    <w:tbl>
      <w:tblPr>
        <w:tblpPr w:leftFromText="141" w:rightFromText="141" w:bottomFromText="200" w:vertAnchor="text" w:horzAnchor="margin" w:tblpY="-78"/>
        <w:tblW w:w="1072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firstRow="1" w:lastRow="1" w:firstColumn="1" w:lastColumn="1" w:noHBand="0" w:noVBand="0"/>
      </w:tblPr>
      <w:tblGrid>
        <w:gridCol w:w="1368"/>
        <w:gridCol w:w="1530"/>
        <w:gridCol w:w="1350"/>
        <w:gridCol w:w="1013"/>
        <w:gridCol w:w="5467"/>
      </w:tblGrid>
      <w:tr w:rsidR="00C75948" w:rsidRPr="004B4D19" w:rsidTr="00C75948">
        <w:trPr>
          <w:cantSplit/>
          <w:tblHeader/>
        </w:trPr>
        <w:tc>
          <w:tcPr>
            <w:tcW w:w="1368" w:type="dxa"/>
            <w:vMerge w:val="restart"/>
            <w:tcBorders>
              <w:top w:val="single" w:sz="8" w:space="0" w:color="FFFFFF"/>
              <w:left w:val="single" w:sz="8" w:space="0" w:color="FFFFFF"/>
              <w:bottom w:val="nil"/>
              <w:right w:val="single" w:sz="8" w:space="0" w:color="FFFFFF"/>
            </w:tcBorders>
            <w:shd w:val="clear" w:color="auto" w:fill="9BBB59"/>
            <w:hideMark/>
          </w:tcPr>
          <w:p w:rsidR="00C75948" w:rsidRPr="004B4D19" w:rsidRDefault="00C75948" w:rsidP="00C75948">
            <w:pPr>
              <w:jc w:val="center"/>
              <w:rPr>
                <w:b/>
                <w:bCs/>
                <w:color w:val="FFFFFF"/>
                <w:sz w:val="21"/>
                <w:szCs w:val="21"/>
              </w:rPr>
            </w:pPr>
            <w:r w:rsidRPr="004B4D19">
              <w:rPr>
                <w:b/>
                <w:bCs/>
                <w:color w:val="FFFFFF"/>
                <w:sz w:val="21"/>
                <w:szCs w:val="21"/>
              </w:rPr>
              <w:t xml:space="preserve">Заседание, </w:t>
            </w:r>
          </w:p>
          <w:p w:rsidR="00C75948" w:rsidRPr="004B4D19" w:rsidRDefault="00C75948" w:rsidP="00C75948">
            <w:pPr>
              <w:jc w:val="center"/>
              <w:rPr>
                <w:b/>
                <w:bCs/>
                <w:color w:val="FFFFFF"/>
                <w:sz w:val="21"/>
                <w:szCs w:val="21"/>
              </w:rPr>
            </w:pPr>
            <w:r w:rsidRPr="004B4D19">
              <w:rPr>
                <w:b/>
                <w:bCs/>
                <w:color w:val="FFFFFF"/>
                <w:sz w:val="21"/>
                <w:szCs w:val="21"/>
              </w:rPr>
              <w:t xml:space="preserve">дата </w:t>
            </w:r>
          </w:p>
        </w:tc>
        <w:tc>
          <w:tcPr>
            <w:tcW w:w="9360" w:type="dxa"/>
            <w:gridSpan w:val="4"/>
            <w:tcBorders>
              <w:top w:val="single" w:sz="8" w:space="0" w:color="FFFFFF"/>
              <w:left w:val="single" w:sz="8" w:space="0" w:color="FFFFFF"/>
              <w:bottom w:val="single" w:sz="24" w:space="0" w:color="FFFFFF"/>
              <w:right w:val="single" w:sz="8" w:space="0" w:color="FFFFFF"/>
            </w:tcBorders>
            <w:shd w:val="clear" w:color="auto" w:fill="9BBB59"/>
            <w:hideMark/>
          </w:tcPr>
          <w:p w:rsidR="00C75948" w:rsidRPr="004B4D19" w:rsidRDefault="00C75948" w:rsidP="00C75948">
            <w:pPr>
              <w:jc w:val="center"/>
              <w:rPr>
                <w:b/>
                <w:bCs/>
                <w:color w:val="FFFFFF"/>
                <w:sz w:val="21"/>
                <w:szCs w:val="21"/>
              </w:rPr>
            </w:pPr>
            <w:r w:rsidRPr="004B4D19">
              <w:rPr>
                <w:b/>
                <w:bCs/>
                <w:color w:val="FFFFFF"/>
                <w:sz w:val="21"/>
                <w:szCs w:val="21"/>
              </w:rPr>
              <w:t>Брой молби</w:t>
            </w:r>
          </w:p>
        </w:tc>
      </w:tr>
      <w:tr w:rsidR="00C75948" w:rsidRPr="004B4D19" w:rsidTr="00C75948">
        <w:trPr>
          <w:cantSplit/>
          <w:tblHeader/>
        </w:trPr>
        <w:tc>
          <w:tcPr>
            <w:tcW w:w="1368" w:type="dxa"/>
            <w:vMerge/>
            <w:tcBorders>
              <w:top w:val="single" w:sz="8" w:space="0" w:color="FFFFFF"/>
              <w:left w:val="single" w:sz="8" w:space="0" w:color="FFFFFF"/>
              <w:bottom w:val="nil"/>
              <w:right w:val="single" w:sz="8" w:space="0" w:color="FFFFFF"/>
            </w:tcBorders>
            <w:vAlign w:val="center"/>
            <w:hideMark/>
          </w:tcPr>
          <w:p w:rsidR="00C75948" w:rsidRPr="004B4D19" w:rsidRDefault="00C75948" w:rsidP="00C75948">
            <w:pPr>
              <w:rPr>
                <w:b/>
                <w:bCs/>
                <w:color w:val="FFFFFF"/>
                <w:sz w:val="21"/>
                <w:szCs w:val="21"/>
              </w:rPr>
            </w:pPr>
          </w:p>
        </w:tc>
        <w:tc>
          <w:tcPr>
            <w:tcW w:w="1530" w:type="dxa"/>
            <w:tcBorders>
              <w:top w:val="single" w:sz="8" w:space="0" w:color="FFFFFF"/>
              <w:left w:val="single" w:sz="8" w:space="0" w:color="FFFFFF"/>
              <w:bottom w:val="nil"/>
              <w:right w:val="single" w:sz="8" w:space="0" w:color="FFFFFF"/>
            </w:tcBorders>
            <w:shd w:val="clear" w:color="auto" w:fill="CDDDAC"/>
            <w:hideMark/>
          </w:tcPr>
          <w:p w:rsidR="00C75948" w:rsidRPr="004B4D19" w:rsidRDefault="00C75948" w:rsidP="00C75948">
            <w:pPr>
              <w:jc w:val="center"/>
              <w:rPr>
                <w:b/>
                <w:sz w:val="21"/>
                <w:szCs w:val="21"/>
              </w:rPr>
            </w:pPr>
            <w:r w:rsidRPr="004B4D19">
              <w:rPr>
                <w:b/>
                <w:sz w:val="21"/>
                <w:szCs w:val="21"/>
              </w:rPr>
              <w:t xml:space="preserve">Разпределени </w:t>
            </w:r>
          </w:p>
          <w:p w:rsidR="00C75948" w:rsidRPr="004B4D19" w:rsidRDefault="00C75948" w:rsidP="00C75948">
            <w:pPr>
              <w:ind w:left="-108" w:right="-108"/>
              <w:jc w:val="center"/>
              <w:rPr>
                <w:b/>
                <w:sz w:val="21"/>
                <w:szCs w:val="21"/>
              </w:rPr>
            </w:pPr>
            <w:r w:rsidRPr="004B4D19">
              <w:rPr>
                <w:b/>
                <w:sz w:val="21"/>
                <w:szCs w:val="21"/>
              </w:rPr>
              <w:t xml:space="preserve">(за докладване в заседание) </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hideMark/>
          </w:tcPr>
          <w:p w:rsidR="00C75948" w:rsidRPr="004B4D19" w:rsidRDefault="00C75948" w:rsidP="00C75948">
            <w:pPr>
              <w:jc w:val="center"/>
              <w:rPr>
                <w:b/>
                <w:sz w:val="21"/>
                <w:szCs w:val="21"/>
              </w:rPr>
            </w:pPr>
            <w:r w:rsidRPr="004B4D19">
              <w:rPr>
                <w:b/>
                <w:sz w:val="21"/>
                <w:szCs w:val="21"/>
              </w:rPr>
              <w:t xml:space="preserve">докладвани </w:t>
            </w:r>
          </w:p>
        </w:tc>
        <w:tc>
          <w:tcPr>
            <w:tcW w:w="1013" w:type="dxa"/>
            <w:tcBorders>
              <w:top w:val="single" w:sz="8" w:space="0" w:color="FFFFFF"/>
              <w:left w:val="single" w:sz="24" w:space="0" w:color="FFFFFF"/>
              <w:bottom w:val="nil"/>
              <w:right w:val="nil"/>
            </w:tcBorders>
            <w:shd w:val="clear" w:color="auto" w:fill="76923C" w:themeFill="accent3" w:themeFillShade="BF"/>
            <w:hideMark/>
          </w:tcPr>
          <w:p w:rsidR="00C75948" w:rsidRPr="004B4D19" w:rsidRDefault="00C75948" w:rsidP="00C75948">
            <w:pPr>
              <w:jc w:val="center"/>
              <w:rPr>
                <w:b/>
                <w:bCs/>
                <w:color w:val="FFFFFF" w:themeColor="background1"/>
                <w:sz w:val="21"/>
                <w:szCs w:val="21"/>
              </w:rPr>
            </w:pPr>
            <w:r w:rsidRPr="004B4D19">
              <w:rPr>
                <w:b/>
                <w:bCs/>
                <w:color w:val="FFFFFF" w:themeColor="background1"/>
                <w:sz w:val="21"/>
                <w:szCs w:val="21"/>
              </w:rPr>
              <w:t xml:space="preserve">решени </w:t>
            </w:r>
          </w:p>
        </w:tc>
        <w:tc>
          <w:tcPr>
            <w:tcW w:w="5467" w:type="dxa"/>
            <w:tcBorders>
              <w:top w:val="single" w:sz="8" w:space="0" w:color="FFFFFF"/>
              <w:left w:val="single" w:sz="24" w:space="0" w:color="FFFFFF"/>
              <w:bottom w:val="nil"/>
              <w:right w:val="nil"/>
            </w:tcBorders>
            <w:shd w:val="clear" w:color="auto" w:fill="9BBB59"/>
            <w:hideMark/>
          </w:tcPr>
          <w:p w:rsidR="00C75948" w:rsidRPr="004B4D19" w:rsidRDefault="00C75948" w:rsidP="00C75948">
            <w:pPr>
              <w:jc w:val="center"/>
              <w:rPr>
                <w:b/>
                <w:bCs/>
                <w:sz w:val="21"/>
                <w:szCs w:val="21"/>
              </w:rPr>
            </w:pPr>
            <w:r w:rsidRPr="004B4D19">
              <w:rPr>
                <w:b/>
                <w:bCs/>
                <w:sz w:val="21"/>
                <w:szCs w:val="21"/>
              </w:rPr>
              <w:t>Молби с удължен срок за разглеждане</w:t>
            </w:r>
          </w:p>
        </w:tc>
      </w:tr>
      <w:tr w:rsidR="00C75948" w:rsidRPr="004B4D19" w:rsidTr="00C75948">
        <w:tc>
          <w:tcPr>
            <w:tcW w:w="1368" w:type="dxa"/>
            <w:tcBorders>
              <w:top w:val="single" w:sz="8" w:space="0" w:color="FFFFFF"/>
              <w:left w:val="single" w:sz="8" w:space="0" w:color="FFFFFF"/>
              <w:right w:val="single" w:sz="24" w:space="0" w:color="FFFFFF"/>
            </w:tcBorders>
            <w:shd w:val="clear" w:color="auto" w:fill="9BBB59"/>
          </w:tcPr>
          <w:p w:rsidR="00C75948" w:rsidRPr="004B4D19" w:rsidRDefault="00C75948" w:rsidP="00C75948">
            <w:pPr>
              <w:jc w:val="both"/>
              <w:rPr>
                <w:b/>
                <w:bCs/>
                <w:color w:val="FFFFFF"/>
                <w:sz w:val="20"/>
                <w:szCs w:val="20"/>
              </w:rPr>
            </w:pPr>
            <w:r w:rsidRPr="004B4D19">
              <w:rPr>
                <w:b/>
                <w:bCs/>
                <w:color w:val="FFFFFF"/>
                <w:sz w:val="20"/>
                <w:szCs w:val="20"/>
              </w:rPr>
              <w:t>03.02.2017 г.</w:t>
            </w:r>
          </w:p>
        </w:tc>
        <w:tc>
          <w:tcPr>
            <w:tcW w:w="1530" w:type="dxa"/>
            <w:tcBorders>
              <w:top w:val="single" w:sz="6" w:space="0" w:color="FFFFFF"/>
              <w:left w:val="single" w:sz="8" w:space="0" w:color="FFFFFF"/>
              <w:bottom w:val="nil"/>
              <w:right w:val="single" w:sz="8" w:space="0" w:color="FFFFFF"/>
            </w:tcBorders>
            <w:shd w:val="clear" w:color="auto" w:fill="CDDDAC"/>
          </w:tcPr>
          <w:p w:rsidR="00C75948" w:rsidRPr="004B4D19" w:rsidRDefault="00C75948" w:rsidP="00C75948">
            <w:pPr>
              <w:jc w:val="both"/>
              <w:rPr>
                <w:sz w:val="21"/>
                <w:szCs w:val="21"/>
              </w:rPr>
            </w:pPr>
            <w:r w:rsidRPr="004B4D19">
              <w:rPr>
                <w:sz w:val="21"/>
                <w:szCs w:val="21"/>
              </w:rPr>
              <w:t>10</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75948" w:rsidRPr="004B4D19" w:rsidRDefault="00C75948" w:rsidP="00C75948">
            <w:pPr>
              <w:jc w:val="both"/>
              <w:rPr>
                <w:sz w:val="21"/>
                <w:szCs w:val="21"/>
              </w:rPr>
            </w:pPr>
            <w:r w:rsidRPr="004B4D19">
              <w:rPr>
                <w:sz w:val="21"/>
                <w:szCs w:val="21"/>
              </w:rPr>
              <w:t>10</w:t>
            </w:r>
          </w:p>
        </w:tc>
        <w:tc>
          <w:tcPr>
            <w:tcW w:w="1013" w:type="dxa"/>
            <w:tcBorders>
              <w:top w:val="single" w:sz="8" w:space="0" w:color="FFFFFF"/>
              <w:left w:val="single" w:sz="24" w:space="0" w:color="FFFFFF"/>
              <w:bottom w:val="nil"/>
              <w:right w:val="nil"/>
            </w:tcBorders>
            <w:shd w:val="clear" w:color="auto" w:fill="76923C" w:themeFill="accent3" w:themeFillShade="BF"/>
          </w:tcPr>
          <w:p w:rsidR="00C75948" w:rsidRPr="004B4D19" w:rsidRDefault="00C75948" w:rsidP="00C75948">
            <w:pPr>
              <w:jc w:val="both"/>
              <w:rPr>
                <w:b/>
                <w:bCs/>
                <w:color w:val="FFFFFF" w:themeColor="background1"/>
                <w:sz w:val="21"/>
                <w:szCs w:val="21"/>
              </w:rPr>
            </w:pPr>
            <w:r w:rsidRPr="004B4D19">
              <w:rPr>
                <w:b/>
                <w:bCs/>
                <w:color w:val="FFFFFF" w:themeColor="background1"/>
                <w:sz w:val="21"/>
                <w:szCs w:val="21"/>
              </w:rPr>
              <w:t>10</w:t>
            </w:r>
          </w:p>
        </w:tc>
        <w:tc>
          <w:tcPr>
            <w:tcW w:w="5467" w:type="dxa"/>
            <w:tcBorders>
              <w:top w:val="single" w:sz="8" w:space="0" w:color="FFFFFF"/>
              <w:left w:val="single" w:sz="24" w:space="0" w:color="FFFFFF"/>
              <w:bottom w:val="single" w:sz="6"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p>
        </w:tc>
      </w:tr>
      <w:tr w:rsidR="00C75948" w:rsidRPr="004B4D19" w:rsidTr="00C75948">
        <w:tc>
          <w:tcPr>
            <w:tcW w:w="1368" w:type="dxa"/>
            <w:tcBorders>
              <w:top w:val="single" w:sz="8" w:space="0" w:color="FFFFFF"/>
              <w:left w:val="single" w:sz="8" w:space="0" w:color="FFFFFF"/>
              <w:right w:val="single" w:sz="24" w:space="0" w:color="FFFFFF"/>
            </w:tcBorders>
            <w:shd w:val="clear" w:color="auto" w:fill="9BBB59" w:themeFill="accent3"/>
          </w:tcPr>
          <w:p w:rsidR="00C75948" w:rsidRPr="004B4D19" w:rsidRDefault="00C75948" w:rsidP="00C75948">
            <w:pPr>
              <w:jc w:val="both"/>
              <w:rPr>
                <w:b/>
                <w:bCs/>
                <w:color w:val="FFFFFF"/>
                <w:sz w:val="20"/>
                <w:szCs w:val="20"/>
              </w:rPr>
            </w:pPr>
            <w:r w:rsidRPr="004B4D19">
              <w:rPr>
                <w:b/>
                <w:bCs/>
                <w:color w:val="FFFFFF"/>
                <w:sz w:val="20"/>
                <w:szCs w:val="20"/>
              </w:rPr>
              <w:t>09.02.2017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C75948" w:rsidRPr="004B4D19" w:rsidRDefault="00C75948" w:rsidP="00C75948">
            <w:pPr>
              <w:jc w:val="both"/>
              <w:rPr>
                <w:sz w:val="21"/>
                <w:szCs w:val="21"/>
              </w:rPr>
            </w:pPr>
            <w:r w:rsidRPr="004B4D19">
              <w:rPr>
                <w:sz w:val="21"/>
                <w:szCs w:val="21"/>
              </w:rPr>
              <w:t>15</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75948" w:rsidRPr="004B4D19" w:rsidRDefault="00C75948" w:rsidP="00C75948">
            <w:pPr>
              <w:jc w:val="both"/>
              <w:rPr>
                <w:sz w:val="21"/>
                <w:szCs w:val="21"/>
              </w:rPr>
            </w:pPr>
            <w:r w:rsidRPr="004B4D19">
              <w:rPr>
                <w:sz w:val="21"/>
                <w:szCs w:val="21"/>
              </w:rPr>
              <w:t>15</w:t>
            </w:r>
          </w:p>
        </w:tc>
        <w:tc>
          <w:tcPr>
            <w:tcW w:w="1013" w:type="dxa"/>
            <w:tcBorders>
              <w:top w:val="single" w:sz="8" w:space="0" w:color="FFFFFF"/>
              <w:left w:val="single" w:sz="24" w:space="0" w:color="FFFFFF"/>
              <w:bottom w:val="nil"/>
              <w:right w:val="nil"/>
            </w:tcBorders>
            <w:shd w:val="clear" w:color="auto" w:fill="76923C" w:themeFill="accent3" w:themeFillShade="BF"/>
          </w:tcPr>
          <w:p w:rsidR="00C75948" w:rsidRPr="004B4D19" w:rsidRDefault="00C75948" w:rsidP="00C75948">
            <w:pPr>
              <w:jc w:val="both"/>
              <w:rPr>
                <w:b/>
                <w:bCs/>
                <w:color w:val="FFFFFF" w:themeColor="background1"/>
                <w:sz w:val="21"/>
                <w:szCs w:val="21"/>
              </w:rPr>
            </w:pPr>
            <w:r w:rsidRPr="004B4D19">
              <w:rPr>
                <w:b/>
                <w:bCs/>
                <w:color w:val="FFFFFF" w:themeColor="background1"/>
                <w:sz w:val="21"/>
                <w:szCs w:val="21"/>
              </w:rPr>
              <w:t>14</w:t>
            </w:r>
          </w:p>
        </w:tc>
        <w:tc>
          <w:tcPr>
            <w:tcW w:w="5467" w:type="dxa"/>
            <w:tcBorders>
              <w:top w:val="single" w:sz="8" w:space="0" w:color="FFFFFF"/>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r w:rsidRPr="004B4D19">
              <w:rPr>
                <w:b/>
                <w:bCs/>
                <w:color w:val="FFFFFF"/>
                <w:sz w:val="21"/>
                <w:szCs w:val="21"/>
              </w:rPr>
              <w:t>1 спряна за назначаване на външна експертиза и решена на 06.04.</w:t>
            </w:r>
          </w:p>
        </w:tc>
      </w:tr>
      <w:tr w:rsidR="00C75948" w:rsidRPr="004B4D19" w:rsidTr="00C75948">
        <w:tc>
          <w:tcPr>
            <w:tcW w:w="1368" w:type="dxa"/>
            <w:tcBorders>
              <w:top w:val="single" w:sz="8" w:space="0" w:color="FFFFFF"/>
              <w:left w:val="single" w:sz="8" w:space="0" w:color="FFFFFF"/>
              <w:right w:val="single" w:sz="24" w:space="0" w:color="FFFFFF"/>
            </w:tcBorders>
            <w:shd w:val="clear" w:color="auto" w:fill="9BBB59" w:themeFill="accent3"/>
          </w:tcPr>
          <w:p w:rsidR="00C75948" w:rsidRPr="004B4D19" w:rsidRDefault="00C75948" w:rsidP="00C75948">
            <w:pPr>
              <w:jc w:val="both"/>
              <w:rPr>
                <w:b/>
                <w:bCs/>
                <w:color w:val="FFFFFF"/>
                <w:sz w:val="20"/>
                <w:szCs w:val="20"/>
              </w:rPr>
            </w:pPr>
            <w:r w:rsidRPr="004B4D19">
              <w:rPr>
                <w:b/>
                <w:bCs/>
                <w:color w:val="FFFFFF"/>
                <w:sz w:val="20"/>
                <w:szCs w:val="20"/>
              </w:rPr>
              <w:t>16.02.2017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C75948" w:rsidRPr="004B4D19" w:rsidRDefault="00C75948" w:rsidP="00C75948">
            <w:pPr>
              <w:jc w:val="both"/>
              <w:rPr>
                <w:sz w:val="21"/>
                <w:szCs w:val="21"/>
              </w:rPr>
            </w:pPr>
            <w:r w:rsidRPr="004B4D19">
              <w:rPr>
                <w:sz w:val="21"/>
                <w:szCs w:val="21"/>
              </w:rPr>
              <w:t>17</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75948" w:rsidRPr="004B4D19" w:rsidRDefault="00C75948" w:rsidP="00C75948">
            <w:pPr>
              <w:jc w:val="both"/>
              <w:rPr>
                <w:sz w:val="21"/>
                <w:szCs w:val="21"/>
              </w:rPr>
            </w:pPr>
            <w:r w:rsidRPr="004B4D19">
              <w:rPr>
                <w:sz w:val="21"/>
                <w:szCs w:val="21"/>
              </w:rPr>
              <w:t>17</w:t>
            </w:r>
          </w:p>
        </w:tc>
        <w:tc>
          <w:tcPr>
            <w:tcW w:w="1013" w:type="dxa"/>
            <w:tcBorders>
              <w:top w:val="single" w:sz="8" w:space="0" w:color="FFFFFF"/>
              <w:left w:val="single" w:sz="24" w:space="0" w:color="FFFFFF"/>
              <w:bottom w:val="nil"/>
              <w:right w:val="nil"/>
            </w:tcBorders>
            <w:shd w:val="clear" w:color="auto" w:fill="76923C" w:themeFill="accent3" w:themeFillShade="BF"/>
          </w:tcPr>
          <w:p w:rsidR="00C75948" w:rsidRPr="004B4D19" w:rsidRDefault="00C75948" w:rsidP="00C75948">
            <w:pPr>
              <w:jc w:val="both"/>
              <w:rPr>
                <w:b/>
                <w:bCs/>
                <w:color w:val="FFFFFF" w:themeColor="background1"/>
                <w:sz w:val="21"/>
                <w:szCs w:val="21"/>
              </w:rPr>
            </w:pPr>
            <w:r w:rsidRPr="004B4D19">
              <w:rPr>
                <w:b/>
                <w:bCs/>
                <w:color w:val="FFFFFF" w:themeColor="background1"/>
                <w:sz w:val="21"/>
                <w:szCs w:val="21"/>
              </w:rPr>
              <w:t>16</w:t>
            </w:r>
          </w:p>
        </w:tc>
        <w:tc>
          <w:tcPr>
            <w:tcW w:w="5467" w:type="dxa"/>
            <w:tcBorders>
              <w:top w:val="single" w:sz="8" w:space="0" w:color="FFFFFF"/>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r w:rsidRPr="004B4D19">
              <w:rPr>
                <w:b/>
                <w:bCs/>
                <w:color w:val="FFFFFF"/>
                <w:sz w:val="21"/>
                <w:szCs w:val="21"/>
              </w:rPr>
              <w:t xml:space="preserve">1 спряна по искане на молителя за внасяне в КП на допълнителни здравни документи. </w:t>
            </w:r>
          </w:p>
        </w:tc>
      </w:tr>
      <w:tr w:rsidR="00C75948"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C75948" w:rsidRPr="004B4D19" w:rsidRDefault="00C75948" w:rsidP="00C75948">
            <w:pPr>
              <w:jc w:val="both"/>
              <w:rPr>
                <w:b/>
                <w:bCs/>
                <w:color w:val="FFFFFF"/>
                <w:sz w:val="20"/>
                <w:szCs w:val="20"/>
              </w:rPr>
            </w:pPr>
            <w:r w:rsidRPr="004B4D19">
              <w:rPr>
                <w:b/>
                <w:bCs/>
                <w:color w:val="FFFFFF"/>
                <w:sz w:val="20"/>
                <w:szCs w:val="20"/>
              </w:rPr>
              <w:t>02.03.2017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C75948" w:rsidRPr="004B4D19" w:rsidRDefault="00C75948" w:rsidP="00C75948">
            <w:pPr>
              <w:jc w:val="both"/>
              <w:rPr>
                <w:sz w:val="21"/>
                <w:szCs w:val="21"/>
              </w:rPr>
            </w:pPr>
            <w:r w:rsidRPr="004B4D19">
              <w:rPr>
                <w:sz w:val="21"/>
                <w:szCs w:val="21"/>
              </w:rPr>
              <w:t>21</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C75948" w:rsidRPr="004B4D19" w:rsidRDefault="00C75948" w:rsidP="00C75948">
            <w:pPr>
              <w:jc w:val="both"/>
              <w:rPr>
                <w:sz w:val="21"/>
                <w:szCs w:val="21"/>
              </w:rPr>
            </w:pPr>
            <w:r w:rsidRPr="004B4D19">
              <w:rPr>
                <w:sz w:val="21"/>
                <w:szCs w:val="21"/>
              </w:rPr>
              <w:t>21</w:t>
            </w:r>
          </w:p>
        </w:tc>
        <w:tc>
          <w:tcPr>
            <w:tcW w:w="1013" w:type="dxa"/>
            <w:tcBorders>
              <w:top w:val="single" w:sz="8" w:space="0" w:color="FFFFFF"/>
              <w:left w:val="single" w:sz="24" w:space="0" w:color="FFFFFF"/>
              <w:bottom w:val="nil"/>
              <w:right w:val="nil"/>
            </w:tcBorders>
            <w:shd w:val="clear" w:color="auto" w:fill="C2D69B" w:themeFill="accent3" w:themeFillTint="99"/>
          </w:tcPr>
          <w:p w:rsidR="00C75948" w:rsidRPr="004B4D19" w:rsidRDefault="00C75948" w:rsidP="00C75948">
            <w:pPr>
              <w:jc w:val="both"/>
              <w:rPr>
                <w:b/>
                <w:bCs/>
                <w:color w:val="FFFFFF" w:themeColor="background1"/>
                <w:sz w:val="21"/>
                <w:szCs w:val="21"/>
              </w:rPr>
            </w:pPr>
            <w:r w:rsidRPr="004B4D19">
              <w:rPr>
                <w:b/>
                <w:bCs/>
                <w:sz w:val="21"/>
                <w:szCs w:val="21"/>
              </w:rPr>
              <w:t>21</w:t>
            </w:r>
          </w:p>
        </w:tc>
        <w:tc>
          <w:tcPr>
            <w:tcW w:w="5467" w:type="dxa"/>
            <w:tcBorders>
              <w:top w:val="single" w:sz="8" w:space="0" w:color="FFFFFF"/>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p>
        </w:tc>
      </w:tr>
      <w:tr w:rsidR="00C75948"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C75948" w:rsidRPr="004B4D19" w:rsidRDefault="00C75948" w:rsidP="00C75948">
            <w:pPr>
              <w:jc w:val="both"/>
              <w:rPr>
                <w:b/>
                <w:bCs/>
                <w:color w:val="FFFFFF"/>
                <w:sz w:val="20"/>
                <w:szCs w:val="20"/>
              </w:rPr>
            </w:pPr>
            <w:r w:rsidRPr="004B4D19">
              <w:rPr>
                <w:b/>
                <w:bCs/>
                <w:color w:val="FFFFFF"/>
                <w:sz w:val="20"/>
                <w:szCs w:val="20"/>
              </w:rPr>
              <w:t>16.03.2017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C75948" w:rsidRPr="004B4D19" w:rsidRDefault="00C75948" w:rsidP="00C75948">
            <w:pPr>
              <w:jc w:val="both"/>
              <w:rPr>
                <w:sz w:val="21"/>
                <w:szCs w:val="21"/>
              </w:rPr>
            </w:pPr>
            <w:r w:rsidRPr="004B4D19">
              <w:rPr>
                <w:sz w:val="21"/>
                <w:szCs w:val="21"/>
              </w:rPr>
              <w:t>10</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C75948" w:rsidRPr="004B4D19" w:rsidRDefault="00C75948" w:rsidP="00C75948">
            <w:pPr>
              <w:jc w:val="both"/>
              <w:rPr>
                <w:sz w:val="21"/>
                <w:szCs w:val="21"/>
              </w:rPr>
            </w:pPr>
            <w:r w:rsidRPr="004B4D19">
              <w:rPr>
                <w:sz w:val="21"/>
                <w:szCs w:val="21"/>
              </w:rPr>
              <w:t>10</w:t>
            </w:r>
          </w:p>
        </w:tc>
        <w:tc>
          <w:tcPr>
            <w:tcW w:w="1013" w:type="dxa"/>
            <w:tcBorders>
              <w:top w:val="single" w:sz="8" w:space="0" w:color="FFFFFF"/>
              <w:left w:val="single" w:sz="24" w:space="0" w:color="FFFFFF"/>
              <w:bottom w:val="nil"/>
              <w:right w:val="nil"/>
            </w:tcBorders>
            <w:shd w:val="clear" w:color="auto" w:fill="C2D69B" w:themeFill="accent3" w:themeFillTint="99"/>
          </w:tcPr>
          <w:p w:rsidR="00C75948" w:rsidRPr="004B4D19" w:rsidRDefault="00C75948" w:rsidP="00C75948">
            <w:pPr>
              <w:jc w:val="both"/>
              <w:rPr>
                <w:b/>
                <w:bCs/>
                <w:sz w:val="21"/>
                <w:szCs w:val="21"/>
              </w:rPr>
            </w:pPr>
            <w:r w:rsidRPr="004B4D19">
              <w:rPr>
                <w:b/>
                <w:bCs/>
                <w:sz w:val="21"/>
                <w:szCs w:val="21"/>
              </w:rPr>
              <w:t>10</w:t>
            </w:r>
          </w:p>
        </w:tc>
        <w:tc>
          <w:tcPr>
            <w:tcW w:w="5467" w:type="dxa"/>
            <w:tcBorders>
              <w:top w:val="single" w:sz="8" w:space="0" w:color="FFFFFF"/>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p>
        </w:tc>
      </w:tr>
      <w:tr w:rsidR="00C75948"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C75948" w:rsidRPr="004B4D19" w:rsidRDefault="00C75948" w:rsidP="00C75948">
            <w:pPr>
              <w:jc w:val="both"/>
              <w:rPr>
                <w:b/>
                <w:bCs/>
                <w:color w:val="FFFFFF"/>
                <w:sz w:val="20"/>
                <w:szCs w:val="20"/>
              </w:rPr>
            </w:pPr>
            <w:r w:rsidRPr="004B4D19">
              <w:rPr>
                <w:b/>
                <w:bCs/>
                <w:color w:val="FFFFFF"/>
                <w:sz w:val="20"/>
                <w:szCs w:val="20"/>
              </w:rPr>
              <w:t>23.03.2017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C75948" w:rsidRPr="004B4D19" w:rsidRDefault="00C75948" w:rsidP="00C75948">
            <w:pPr>
              <w:jc w:val="both"/>
              <w:rPr>
                <w:sz w:val="21"/>
                <w:szCs w:val="21"/>
              </w:rPr>
            </w:pPr>
            <w:r w:rsidRPr="004B4D19">
              <w:rPr>
                <w:sz w:val="21"/>
                <w:szCs w:val="21"/>
              </w:rPr>
              <w:t>7</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C75948" w:rsidRPr="004B4D19" w:rsidRDefault="00C75948" w:rsidP="00C75948">
            <w:pPr>
              <w:jc w:val="both"/>
              <w:rPr>
                <w:sz w:val="21"/>
                <w:szCs w:val="21"/>
              </w:rPr>
            </w:pPr>
            <w:r w:rsidRPr="004B4D19">
              <w:rPr>
                <w:sz w:val="21"/>
                <w:szCs w:val="21"/>
              </w:rPr>
              <w:t>7</w:t>
            </w:r>
          </w:p>
        </w:tc>
        <w:tc>
          <w:tcPr>
            <w:tcW w:w="1013" w:type="dxa"/>
            <w:tcBorders>
              <w:top w:val="single" w:sz="8" w:space="0" w:color="FFFFFF"/>
              <w:left w:val="single" w:sz="24" w:space="0" w:color="FFFFFF"/>
              <w:bottom w:val="nil"/>
              <w:right w:val="nil"/>
            </w:tcBorders>
            <w:shd w:val="clear" w:color="auto" w:fill="C2D69B" w:themeFill="accent3" w:themeFillTint="99"/>
          </w:tcPr>
          <w:p w:rsidR="00C75948" w:rsidRPr="004B4D19" w:rsidRDefault="00C75948" w:rsidP="00C75948">
            <w:pPr>
              <w:jc w:val="both"/>
              <w:rPr>
                <w:b/>
                <w:bCs/>
                <w:sz w:val="21"/>
                <w:szCs w:val="21"/>
              </w:rPr>
            </w:pPr>
            <w:r w:rsidRPr="004B4D19">
              <w:rPr>
                <w:b/>
                <w:bCs/>
                <w:sz w:val="21"/>
                <w:szCs w:val="21"/>
              </w:rPr>
              <w:t>6</w:t>
            </w:r>
          </w:p>
        </w:tc>
        <w:tc>
          <w:tcPr>
            <w:tcW w:w="5467" w:type="dxa"/>
            <w:tcBorders>
              <w:top w:val="single" w:sz="8" w:space="0" w:color="FFFFFF"/>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r w:rsidRPr="004B4D19">
              <w:rPr>
                <w:b/>
                <w:bCs/>
                <w:color w:val="FFFFFF"/>
                <w:sz w:val="21"/>
                <w:szCs w:val="21"/>
              </w:rPr>
              <w:t>1 спряна за получаване на допълнителна информация и решена на 06.04.</w:t>
            </w:r>
          </w:p>
        </w:tc>
      </w:tr>
      <w:tr w:rsidR="00C75948" w:rsidRPr="004B4D19" w:rsidTr="00C75948">
        <w:tc>
          <w:tcPr>
            <w:tcW w:w="1368" w:type="dxa"/>
            <w:tcBorders>
              <w:top w:val="single" w:sz="8" w:space="0" w:color="FFFFFF"/>
              <w:left w:val="single" w:sz="8" w:space="0" w:color="FFFFFF"/>
              <w:right w:val="single" w:sz="24" w:space="0" w:color="FFFFFF"/>
            </w:tcBorders>
            <w:shd w:val="clear" w:color="auto" w:fill="9BBB59" w:themeFill="accent3"/>
          </w:tcPr>
          <w:p w:rsidR="00C75948" w:rsidRPr="004B4D19" w:rsidRDefault="00C75948" w:rsidP="00C75948">
            <w:pPr>
              <w:jc w:val="both"/>
              <w:rPr>
                <w:b/>
                <w:bCs/>
                <w:color w:val="FFFFFF"/>
                <w:sz w:val="20"/>
                <w:szCs w:val="20"/>
              </w:rPr>
            </w:pPr>
            <w:r w:rsidRPr="004B4D19">
              <w:rPr>
                <w:b/>
                <w:bCs/>
                <w:color w:val="FFFFFF"/>
                <w:sz w:val="20"/>
                <w:szCs w:val="20"/>
              </w:rPr>
              <w:t>06.04.2017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C75948" w:rsidRPr="004B4D19" w:rsidRDefault="00C75948" w:rsidP="00C75948">
            <w:pPr>
              <w:jc w:val="both"/>
              <w:rPr>
                <w:sz w:val="21"/>
                <w:szCs w:val="21"/>
              </w:rPr>
            </w:pPr>
            <w:r w:rsidRPr="004B4D19">
              <w:rPr>
                <w:sz w:val="21"/>
                <w:szCs w:val="21"/>
              </w:rPr>
              <w:t>16+2</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75948" w:rsidRPr="004B4D19" w:rsidRDefault="00C75948" w:rsidP="00C75948">
            <w:pPr>
              <w:jc w:val="both"/>
              <w:rPr>
                <w:sz w:val="21"/>
                <w:szCs w:val="21"/>
              </w:rPr>
            </w:pPr>
            <w:r w:rsidRPr="004B4D19">
              <w:rPr>
                <w:sz w:val="21"/>
                <w:szCs w:val="21"/>
              </w:rPr>
              <w:t>16+2</w:t>
            </w:r>
          </w:p>
        </w:tc>
        <w:tc>
          <w:tcPr>
            <w:tcW w:w="1013" w:type="dxa"/>
            <w:tcBorders>
              <w:top w:val="single" w:sz="8" w:space="0" w:color="FFFFFF"/>
              <w:left w:val="single" w:sz="24" w:space="0" w:color="FFFFFF"/>
              <w:bottom w:val="nil"/>
              <w:right w:val="nil"/>
            </w:tcBorders>
            <w:shd w:val="clear" w:color="auto" w:fill="76923C" w:themeFill="accent3" w:themeFillShade="BF"/>
          </w:tcPr>
          <w:p w:rsidR="00C75948" w:rsidRPr="004B4D19" w:rsidRDefault="00C75948" w:rsidP="00C75948">
            <w:pPr>
              <w:jc w:val="both"/>
              <w:rPr>
                <w:b/>
                <w:bCs/>
                <w:color w:val="FFFFFF" w:themeColor="background1"/>
                <w:sz w:val="21"/>
                <w:szCs w:val="21"/>
              </w:rPr>
            </w:pPr>
            <w:r w:rsidRPr="004B4D19">
              <w:rPr>
                <w:b/>
                <w:bCs/>
                <w:color w:val="FFFFFF" w:themeColor="background1"/>
                <w:sz w:val="21"/>
                <w:szCs w:val="21"/>
              </w:rPr>
              <w:t>16</w:t>
            </w:r>
          </w:p>
        </w:tc>
        <w:tc>
          <w:tcPr>
            <w:tcW w:w="5467" w:type="dxa"/>
            <w:tcBorders>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r w:rsidRPr="004B4D19">
              <w:rPr>
                <w:b/>
                <w:bCs/>
                <w:color w:val="FFFFFF"/>
                <w:sz w:val="21"/>
                <w:szCs w:val="21"/>
              </w:rPr>
              <w:t>Изслушване на външни експерти. Изслушване на социален работник. 2 спрени в предходен период решени. 1 спряна за изискване на нова оценка на риска на молителя и решена на 13.04. 1 спряна за изискване на данни от социални органи.</w:t>
            </w:r>
          </w:p>
        </w:tc>
      </w:tr>
      <w:tr w:rsidR="00C75948" w:rsidRPr="004B4D19" w:rsidTr="00C75948">
        <w:tc>
          <w:tcPr>
            <w:tcW w:w="1368" w:type="dxa"/>
            <w:tcBorders>
              <w:top w:val="single" w:sz="8" w:space="0" w:color="FFFFFF"/>
              <w:left w:val="single" w:sz="8" w:space="0" w:color="FFFFFF"/>
              <w:right w:val="single" w:sz="24" w:space="0" w:color="FFFFFF"/>
            </w:tcBorders>
            <w:shd w:val="clear" w:color="auto" w:fill="9BBB59" w:themeFill="accent3"/>
          </w:tcPr>
          <w:p w:rsidR="00C75948" w:rsidRPr="004B4D19" w:rsidRDefault="00C75948" w:rsidP="00C75948">
            <w:pPr>
              <w:jc w:val="both"/>
              <w:rPr>
                <w:b/>
                <w:bCs/>
                <w:color w:val="FFFFFF"/>
                <w:sz w:val="20"/>
                <w:szCs w:val="20"/>
              </w:rPr>
            </w:pPr>
            <w:r w:rsidRPr="004B4D19">
              <w:rPr>
                <w:b/>
                <w:bCs/>
                <w:color w:val="FFFFFF"/>
                <w:sz w:val="20"/>
                <w:szCs w:val="20"/>
              </w:rPr>
              <w:t>13.04. 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C75948" w:rsidRPr="004B4D19" w:rsidRDefault="00C75948" w:rsidP="00C75948">
            <w:pPr>
              <w:jc w:val="both"/>
              <w:rPr>
                <w:sz w:val="21"/>
                <w:szCs w:val="21"/>
              </w:rPr>
            </w:pPr>
            <w:r w:rsidRPr="004B4D19">
              <w:rPr>
                <w:sz w:val="21"/>
                <w:szCs w:val="21"/>
              </w:rPr>
              <w:t>2+1</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75948" w:rsidRPr="004B4D19" w:rsidRDefault="00C75948" w:rsidP="00C75948">
            <w:pPr>
              <w:jc w:val="both"/>
              <w:rPr>
                <w:sz w:val="21"/>
                <w:szCs w:val="21"/>
              </w:rPr>
            </w:pPr>
            <w:r w:rsidRPr="004B4D19">
              <w:rPr>
                <w:sz w:val="21"/>
                <w:szCs w:val="21"/>
              </w:rPr>
              <w:t>2+1</w:t>
            </w:r>
          </w:p>
        </w:tc>
        <w:tc>
          <w:tcPr>
            <w:tcW w:w="1013" w:type="dxa"/>
            <w:tcBorders>
              <w:top w:val="single" w:sz="8" w:space="0" w:color="FFFFFF"/>
              <w:left w:val="single" w:sz="24" w:space="0" w:color="FFFFFF"/>
              <w:bottom w:val="nil"/>
              <w:right w:val="nil"/>
            </w:tcBorders>
            <w:shd w:val="clear" w:color="auto" w:fill="76923C" w:themeFill="accent3" w:themeFillShade="BF"/>
          </w:tcPr>
          <w:p w:rsidR="00C75948" w:rsidRPr="004B4D19" w:rsidRDefault="00C75948" w:rsidP="00C75948">
            <w:pPr>
              <w:jc w:val="both"/>
              <w:rPr>
                <w:b/>
                <w:bCs/>
                <w:color w:val="FFFFFF" w:themeColor="background1"/>
                <w:sz w:val="21"/>
                <w:szCs w:val="21"/>
              </w:rPr>
            </w:pPr>
            <w:r w:rsidRPr="004B4D19">
              <w:rPr>
                <w:b/>
                <w:bCs/>
                <w:color w:val="FFFFFF" w:themeColor="background1"/>
                <w:sz w:val="21"/>
                <w:szCs w:val="21"/>
              </w:rPr>
              <w:t>3</w:t>
            </w:r>
          </w:p>
        </w:tc>
        <w:tc>
          <w:tcPr>
            <w:tcW w:w="5467" w:type="dxa"/>
            <w:tcBorders>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r w:rsidRPr="004B4D19">
              <w:rPr>
                <w:b/>
                <w:bCs/>
                <w:color w:val="FFFFFF"/>
                <w:sz w:val="21"/>
                <w:szCs w:val="21"/>
              </w:rPr>
              <w:t>1 спряна в предходен период решена</w:t>
            </w:r>
          </w:p>
        </w:tc>
      </w:tr>
      <w:tr w:rsidR="00C75948"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C75948" w:rsidRPr="004B4D19" w:rsidRDefault="00C75948" w:rsidP="00C75948">
            <w:pPr>
              <w:jc w:val="both"/>
              <w:rPr>
                <w:b/>
                <w:bCs/>
                <w:color w:val="FFFFFF" w:themeColor="background1"/>
                <w:sz w:val="20"/>
                <w:szCs w:val="20"/>
              </w:rPr>
            </w:pPr>
            <w:r w:rsidRPr="004B4D19">
              <w:rPr>
                <w:b/>
                <w:bCs/>
                <w:color w:val="FFFFFF" w:themeColor="background1"/>
                <w:sz w:val="20"/>
                <w:szCs w:val="20"/>
              </w:rPr>
              <w:t>04.05.2017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14</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14</w:t>
            </w:r>
          </w:p>
        </w:tc>
        <w:tc>
          <w:tcPr>
            <w:tcW w:w="1013" w:type="dxa"/>
            <w:tcBorders>
              <w:top w:val="single" w:sz="8" w:space="0" w:color="FFFFFF"/>
              <w:left w:val="single" w:sz="24" w:space="0" w:color="FFFFFF"/>
              <w:bottom w:val="nil"/>
              <w:right w:val="nil"/>
            </w:tcBorders>
            <w:shd w:val="clear" w:color="auto" w:fill="C2D69B" w:themeFill="accent3" w:themeFillTint="99"/>
          </w:tcPr>
          <w:p w:rsidR="00C75948" w:rsidRPr="004B4D19" w:rsidRDefault="00C75948" w:rsidP="00C75948">
            <w:pPr>
              <w:jc w:val="both"/>
              <w:rPr>
                <w:b/>
                <w:bCs/>
                <w:color w:val="000000" w:themeColor="text1"/>
                <w:sz w:val="22"/>
                <w:szCs w:val="21"/>
              </w:rPr>
            </w:pPr>
            <w:r w:rsidRPr="004B4D19">
              <w:rPr>
                <w:b/>
                <w:bCs/>
                <w:color w:val="000000" w:themeColor="text1"/>
                <w:sz w:val="22"/>
                <w:szCs w:val="21"/>
              </w:rPr>
              <w:t>14</w:t>
            </w:r>
          </w:p>
        </w:tc>
        <w:tc>
          <w:tcPr>
            <w:tcW w:w="5467" w:type="dxa"/>
            <w:tcBorders>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p>
        </w:tc>
      </w:tr>
      <w:tr w:rsidR="00C75948"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C75948" w:rsidRPr="004B4D19" w:rsidRDefault="00C75948" w:rsidP="00C75948">
            <w:pPr>
              <w:jc w:val="both"/>
              <w:rPr>
                <w:b/>
                <w:bCs/>
                <w:color w:val="FFFFFF"/>
                <w:sz w:val="20"/>
                <w:szCs w:val="20"/>
              </w:rPr>
            </w:pPr>
            <w:r w:rsidRPr="004B4D19">
              <w:rPr>
                <w:b/>
                <w:bCs/>
                <w:color w:val="FFFFFF"/>
                <w:sz w:val="20"/>
                <w:szCs w:val="20"/>
              </w:rPr>
              <w:t>11.05.2017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15</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15</w:t>
            </w:r>
          </w:p>
        </w:tc>
        <w:tc>
          <w:tcPr>
            <w:tcW w:w="1013" w:type="dxa"/>
            <w:tcBorders>
              <w:top w:val="single" w:sz="8" w:space="0" w:color="FFFFFF"/>
              <w:left w:val="single" w:sz="24" w:space="0" w:color="FFFFFF"/>
              <w:bottom w:val="nil"/>
              <w:right w:val="nil"/>
            </w:tcBorders>
            <w:shd w:val="clear" w:color="auto" w:fill="C2D69B" w:themeFill="accent3" w:themeFillTint="99"/>
          </w:tcPr>
          <w:p w:rsidR="00C75948" w:rsidRPr="004B4D19" w:rsidRDefault="00C75948" w:rsidP="00C75948">
            <w:pPr>
              <w:jc w:val="both"/>
              <w:rPr>
                <w:b/>
                <w:bCs/>
                <w:color w:val="000000" w:themeColor="text1"/>
                <w:sz w:val="22"/>
                <w:szCs w:val="21"/>
              </w:rPr>
            </w:pPr>
            <w:r w:rsidRPr="004B4D19">
              <w:rPr>
                <w:b/>
                <w:bCs/>
                <w:color w:val="000000" w:themeColor="text1"/>
                <w:sz w:val="22"/>
                <w:szCs w:val="21"/>
              </w:rPr>
              <w:t>15</w:t>
            </w:r>
          </w:p>
        </w:tc>
        <w:tc>
          <w:tcPr>
            <w:tcW w:w="5467" w:type="dxa"/>
            <w:tcBorders>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p>
        </w:tc>
      </w:tr>
      <w:tr w:rsidR="00C75948"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C75948" w:rsidRPr="004B4D19" w:rsidRDefault="00C75948" w:rsidP="00C75948">
            <w:pPr>
              <w:jc w:val="both"/>
              <w:rPr>
                <w:b/>
                <w:bCs/>
                <w:color w:val="FFFFFF"/>
                <w:sz w:val="20"/>
                <w:szCs w:val="20"/>
              </w:rPr>
            </w:pPr>
            <w:r w:rsidRPr="004B4D19">
              <w:rPr>
                <w:b/>
                <w:bCs/>
                <w:color w:val="FFFFFF"/>
                <w:sz w:val="20"/>
                <w:szCs w:val="20"/>
              </w:rPr>
              <w:t>25.05.2017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26</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26</w:t>
            </w:r>
          </w:p>
        </w:tc>
        <w:tc>
          <w:tcPr>
            <w:tcW w:w="1013" w:type="dxa"/>
            <w:tcBorders>
              <w:top w:val="single" w:sz="8" w:space="0" w:color="FFFFFF"/>
              <w:left w:val="single" w:sz="24" w:space="0" w:color="FFFFFF"/>
              <w:bottom w:val="nil"/>
              <w:right w:val="nil"/>
            </w:tcBorders>
            <w:shd w:val="clear" w:color="auto" w:fill="C2D69B" w:themeFill="accent3" w:themeFillTint="99"/>
          </w:tcPr>
          <w:p w:rsidR="00C75948" w:rsidRPr="004B4D19" w:rsidRDefault="00C75948" w:rsidP="00C75948">
            <w:pPr>
              <w:jc w:val="both"/>
              <w:rPr>
                <w:b/>
                <w:bCs/>
                <w:color w:val="FFFFFF" w:themeColor="background1"/>
                <w:sz w:val="21"/>
                <w:szCs w:val="21"/>
              </w:rPr>
            </w:pPr>
            <w:r w:rsidRPr="004B4D19">
              <w:rPr>
                <w:b/>
                <w:bCs/>
                <w:color w:val="000000" w:themeColor="text1"/>
                <w:sz w:val="21"/>
                <w:szCs w:val="21"/>
              </w:rPr>
              <w:t>26</w:t>
            </w:r>
          </w:p>
        </w:tc>
        <w:tc>
          <w:tcPr>
            <w:tcW w:w="5467" w:type="dxa"/>
            <w:tcBorders>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p>
        </w:tc>
      </w:tr>
      <w:tr w:rsidR="00C75948" w:rsidRPr="004B4D19" w:rsidTr="00C75948">
        <w:tc>
          <w:tcPr>
            <w:tcW w:w="1368" w:type="dxa"/>
            <w:tcBorders>
              <w:top w:val="single" w:sz="8" w:space="0" w:color="FFFFFF"/>
              <w:left w:val="single" w:sz="8" w:space="0" w:color="FFFFFF"/>
              <w:right w:val="single" w:sz="24" w:space="0" w:color="FFFFFF"/>
            </w:tcBorders>
            <w:shd w:val="clear" w:color="auto" w:fill="92D050"/>
          </w:tcPr>
          <w:p w:rsidR="00C75948" w:rsidRPr="004B4D19" w:rsidRDefault="00C75948" w:rsidP="00C75948">
            <w:pPr>
              <w:jc w:val="both"/>
              <w:rPr>
                <w:b/>
                <w:bCs/>
                <w:color w:val="FFFFFF"/>
                <w:sz w:val="20"/>
                <w:szCs w:val="20"/>
              </w:rPr>
            </w:pPr>
            <w:r w:rsidRPr="004B4D19">
              <w:rPr>
                <w:b/>
                <w:bCs/>
                <w:color w:val="FFFFFF"/>
                <w:sz w:val="20"/>
                <w:szCs w:val="20"/>
              </w:rPr>
              <w:t>06.06.2017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C75948" w:rsidRPr="004B4D19" w:rsidRDefault="00C75948" w:rsidP="00C75948">
            <w:pPr>
              <w:jc w:val="both"/>
              <w:rPr>
                <w:color w:val="000000" w:themeColor="text1"/>
                <w:sz w:val="21"/>
                <w:szCs w:val="21"/>
              </w:rPr>
            </w:pPr>
            <w:r w:rsidRPr="004B4D19">
              <w:rPr>
                <w:color w:val="000000" w:themeColor="text1"/>
                <w:sz w:val="21"/>
                <w:szCs w:val="21"/>
              </w:rPr>
              <w:t>23</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75948" w:rsidRPr="004B4D19" w:rsidRDefault="00C75948" w:rsidP="00C75948">
            <w:pPr>
              <w:jc w:val="both"/>
              <w:rPr>
                <w:color w:val="000000" w:themeColor="text1"/>
                <w:sz w:val="21"/>
                <w:szCs w:val="21"/>
              </w:rPr>
            </w:pPr>
            <w:r w:rsidRPr="004B4D19">
              <w:rPr>
                <w:color w:val="000000" w:themeColor="text1"/>
                <w:sz w:val="21"/>
                <w:szCs w:val="21"/>
              </w:rPr>
              <w:t>23</w:t>
            </w:r>
          </w:p>
        </w:tc>
        <w:tc>
          <w:tcPr>
            <w:tcW w:w="1013" w:type="dxa"/>
            <w:tcBorders>
              <w:top w:val="single" w:sz="8" w:space="0" w:color="FFFFFF"/>
              <w:left w:val="single" w:sz="24" w:space="0" w:color="FFFFFF"/>
              <w:bottom w:val="nil"/>
              <w:right w:val="nil"/>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23</w:t>
            </w:r>
          </w:p>
        </w:tc>
        <w:tc>
          <w:tcPr>
            <w:tcW w:w="5467" w:type="dxa"/>
            <w:tcBorders>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p>
        </w:tc>
      </w:tr>
      <w:tr w:rsidR="00C75948" w:rsidRPr="004B4D19" w:rsidTr="00C75948">
        <w:tc>
          <w:tcPr>
            <w:tcW w:w="1368" w:type="dxa"/>
            <w:tcBorders>
              <w:top w:val="single" w:sz="8" w:space="0" w:color="FFFFFF"/>
              <w:left w:val="single" w:sz="8" w:space="0" w:color="FFFFFF"/>
              <w:right w:val="single" w:sz="24" w:space="0" w:color="FFFFFF"/>
            </w:tcBorders>
            <w:shd w:val="clear" w:color="auto" w:fill="92D050"/>
          </w:tcPr>
          <w:p w:rsidR="00C75948" w:rsidRPr="004B4D19" w:rsidRDefault="00C75948" w:rsidP="00C75948">
            <w:pPr>
              <w:jc w:val="both"/>
              <w:rPr>
                <w:b/>
                <w:bCs/>
                <w:color w:val="FFFFFF"/>
                <w:sz w:val="20"/>
                <w:szCs w:val="20"/>
              </w:rPr>
            </w:pPr>
            <w:r w:rsidRPr="004B4D19">
              <w:rPr>
                <w:b/>
                <w:bCs/>
                <w:color w:val="FFFFFF"/>
                <w:sz w:val="20"/>
                <w:szCs w:val="20"/>
              </w:rPr>
              <w:t>15.06.2017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C75948" w:rsidRPr="004B4D19" w:rsidRDefault="00C75948" w:rsidP="00C75948">
            <w:pPr>
              <w:jc w:val="both"/>
              <w:rPr>
                <w:color w:val="000000" w:themeColor="text1"/>
                <w:sz w:val="21"/>
                <w:szCs w:val="21"/>
              </w:rPr>
            </w:pPr>
            <w:r w:rsidRPr="004B4D19">
              <w:rPr>
                <w:color w:val="000000" w:themeColor="text1"/>
                <w:sz w:val="21"/>
                <w:szCs w:val="21"/>
              </w:rPr>
              <w:t>20</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75948" w:rsidRPr="004B4D19" w:rsidRDefault="00C75948" w:rsidP="00C75948">
            <w:pPr>
              <w:jc w:val="both"/>
              <w:rPr>
                <w:color w:val="000000" w:themeColor="text1"/>
                <w:sz w:val="21"/>
                <w:szCs w:val="21"/>
              </w:rPr>
            </w:pPr>
            <w:r w:rsidRPr="004B4D19">
              <w:rPr>
                <w:color w:val="000000" w:themeColor="text1"/>
                <w:sz w:val="21"/>
                <w:szCs w:val="21"/>
              </w:rPr>
              <w:t>20</w:t>
            </w:r>
          </w:p>
        </w:tc>
        <w:tc>
          <w:tcPr>
            <w:tcW w:w="1013" w:type="dxa"/>
            <w:tcBorders>
              <w:top w:val="single" w:sz="8" w:space="0" w:color="FFFFFF"/>
              <w:left w:val="single" w:sz="24" w:space="0" w:color="FFFFFF"/>
              <w:bottom w:val="nil"/>
              <w:right w:val="nil"/>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19</w:t>
            </w:r>
          </w:p>
        </w:tc>
        <w:tc>
          <w:tcPr>
            <w:tcW w:w="5467" w:type="dxa"/>
            <w:tcBorders>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r w:rsidRPr="004B4D19">
              <w:rPr>
                <w:b/>
                <w:bCs/>
                <w:color w:val="FFFFFF"/>
                <w:sz w:val="21"/>
                <w:szCs w:val="21"/>
              </w:rPr>
              <w:t>1 спряна за провеждане на външна експертиза</w:t>
            </w:r>
          </w:p>
        </w:tc>
      </w:tr>
      <w:tr w:rsidR="00C75948" w:rsidRPr="004B4D19" w:rsidTr="00C75948">
        <w:tc>
          <w:tcPr>
            <w:tcW w:w="1368" w:type="dxa"/>
            <w:tcBorders>
              <w:top w:val="single" w:sz="8" w:space="0" w:color="FFFFFF"/>
              <w:left w:val="single" w:sz="8" w:space="0" w:color="FFFFFF"/>
              <w:right w:val="single" w:sz="24" w:space="0" w:color="FFFFFF"/>
            </w:tcBorders>
            <w:shd w:val="clear" w:color="auto" w:fill="92D050"/>
          </w:tcPr>
          <w:p w:rsidR="00C75948" w:rsidRPr="004B4D19" w:rsidRDefault="00C75948" w:rsidP="00C75948">
            <w:pPr>
              <w:jc w:val="both"/>
              <w:rPr>
                <w:b/>
                <w:bCs/>
                <w:color w:val="FFFFFF"/>
                <w:sz w:val="20"/>
                <w:szCs w:val="20"/>
              </w:rPr>
            </w:pPr>
            <w:r w:rsidRPr="004B4D19">
              <w:rPr>
                <w:b/>
                <w:bCs/>
                <w:color w:val="FFFFFF"/>
                <w:sz w:val="20"/>
                <w:szCs w:val="20"/>
              </w:rPr>
              <w:t>29.06.2017 г.</w:t>
            </w:r>
          </w:p>
        </w:tc>
        <w:tc>
          <w:tcPr>
            <w:tcW w:w="1530" w:type="dxa"/>
            <w:tcBorders>
              <w:top w:val="single" w:sz="6" w:space="0" w:color="FFFFFF"/>
              <w:left w:val="single" w:sz="8" w:space="0" w:color="FFFFFF"/>
              <w:bottom w:val="nil"/>
              <w:right w:val="single" w:sz="8" w:space="0" w:color="FFFFFF"/>
            </w:tcBorders>
            <w:shd w:val="clear" w:color="auto" w:fill="C2D69B" w:themeFill="accent3" w:themeFillTint="99"/>
          </w:tcPr>
          <w:p w:rsidR="00C75948" w:rsidRPr="004B4D19" w:rsidRDefault="00C75948" w:rsidP="00C75948">
            <w:pPr>
              <w:jc w:val="both"/>
              <w:rPr>
                <w:color w:val="000000" w:themeColor="text1"/>
                <w:sz w:val="21"/>
                <w:szCs w:val="21"/>
              </w:rPr>
            </w:pPr>
            <w:r w:rsidRPr="004B4D19">
              <w:rPr>
                <w:color w:val="000000" w:themeColor="text1"/>
                <w:sz w:val="21"/>
                <w:szCs w:val="21"/>
              </w:rPr>
              <w:t>17</w:t>
            </w:r>
          </w:p>
        </w:tc>
        <w:tc>
          <w:tcPr>
            <w:tcW w:w="1350" w:type="dxa"/>
            <w:tcBorders>
              <w:top w:val="single" w:sz="8" w:space="0" w:color="FFFFFF"/>
              <w:left w:val="single" w:sz="8" w:space="0" w:color="FFFFFF"/>
              <w:bottom w:val="single" w:sz="8" w:space="0" w:color="FFFFFF"/>
              <w:right w:val="single" w:sz="8" w:space="0" w:color="FFFFFF"/>
            </w:tcBorders>
            <w:shd w:val="clear" w:color="auto" w:fill="C2D69B" w:themeFill="accent3" w:themeFillTint="99"/>
          </w:tcPr>
          <w:p w:rsidR="00C75948" w:rsidRPr="004B4D19" w:rsidRDefault="00C75948" w:rsidP="00C75948">
            <w:pPr>
              <w:jc w:val="both"/>
              <w:rPr>
                <w:color w:val="000000" w:themeColor="text1"/>
                <w:sz w:val="21"/>
                <w:szCs w:val="21"/>
              </w:rPr>
            </w:pPr>
            <w:r w:rsidRPr="004B4D19">
              <w:rPr>
                <w:color w:val="000000" w:themeColor="text1"/>
                <w:sz w:val="21"/>
                <w:szCs w:val="21"/>
              </w:rPr>
              <w:t>17</w:t>
            </w:r>
          </w:p>
        </w:tc>
        <w:tc>
          <w:tcPr>
            <w:tcW w:w="1013" w:type="dxa"/>
            <w:tcBorders>
              <w:top w:val="single" w:sz="8" w:space="0" w:color="FFFFFF"/>
              <w:left w:val="single" w:sz="24" w:space="0" w:color="FFFFFF"/>
              <w:bottom w:val="nil"/>
              <w:right w:val="nil"/>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1</w:t>
            </w:r>
            <w:r w:rsidR="005C4C14">
              <w:rPr>
                <w:color w:val="FFFFFF" w:themeColor="background1"/>
                <w:sz w:val="21"/>
                <w:szCs w:val="21"/>
              </w:rPr>
              <w:t>6</w:t>
            </w:r>
          </w:p>
        </w:tc>
        <w:tc>
          <w:tcPr>
            <w:tcW w:w="5467" w:type="dxa"/>
            <w:tcBorders>
              <w:left w:val="single" w:sz="24" w:space="0" w:color="FFFFFF"/>
              <w:right w:val="nil"/>
            </w:tcBorders>
            <w:shd w:val="clear" w:color="auto" w:fill="4F6228" w:themeFill="accent3" w:themeFillShade="80"/>
          </w:tcPr>
          <w:p w:rsidR="00C75948" w:rsidRPr="004B4D19" w:rsidRDefault="005C4C14" w:rsidP="00C75948">
            <w:pPr>
              <w:jc w:val="both"/>
              <w:rPr>
                <w:b/>
                <w:bCs/>
                <w:color w:val="FFFFFF"/>
                <w:sz w:val="21"/>
                <w:szCs w:val="21"/>
              </w:rPr>
            </w:pPr>
            <w:r>
              <w:rPr>
                <w:b/>
                <w:bCs/>
                <w:color w:val="FFFFFF"/>
                <w:sz w:val="21"/>
                <w:szCs w:val="21"/>
              </w:rPr>
              <w:t>1 спряна за изслушване на социален работник</w:t>
            </w:r>
          </w:p>
        </w:tc>
      </w:tr>
      <w:tr w:rsidR="00C75948"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C75948" w:rsidRPr="004B4D19" w:rsidRDefault="00C75948" w:rsidP="00C75948">
            <w:pPr>
              <w:jc w:val="both"/>
              <w:rPr>
                <w:b/>
                <w:bCs/>
                <w:color w:val="FFFFFF"/>
                <w:sz w:val="20"/>
                <w:szCs w:val="20"/>
              </w:rPr>
            </w:pPr>
            <w:r w:rsidRPr="004B4D19">
              <w:rPr>
                <w:b/>
                <w:bCs/>
                <w:color w:val="FFFFFF"/>
                <w:sz w:val="20"/>
                <w:szCs w:val="20"/>
              </w:rPr>
              <w:t>13.07.2017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32</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32</w:t>
            </w:r>
          </w:p>
        </w:tc>
        <w:tc>
          <w:tcPr>
            <w:tcW w:w="1013" w:type="dxa"/>
            <w:tcBorders>
              <w:top w:val="single" w:sz="8" w:space="0" w:color="FFFFFF"/>
              <w:left w:val="single" w:sz="24" w:space="0" w:color="FFFFFF"/>
              <w:bottom w:val="nil"/>
              <w:right w:val="nil"/>
            </w:tcBorders>
            <w:shd w:val="clear" w:color="auto" w:fill="C2D69B" w:themeFill="accent3" w:themeFillTint="99"/>
          </w:tcPr>
          <w:p w:rsidR="00C75948" w:rsidRPr="004B4D19" w:rsidRDefault="00C75948" w:rsidP="00C75948">
            <w:pPr>
              <w:jc w:val="both"/>
              <w:rPr>
                <w:color w:val="000000" w:themeColor="text1"/>
                <w:sz w:val="21"/>
                <w:szCs w:val="21"/>
              </w:rPr>
            </w:pPr>
            <w:r w:rsidRPr="004B4D19">
              <w:rPr>
                <w:color w:val="000000" w:themeColor="text1"/>
                <w:sz w:val="21"/>
                <w:szCs w:val="21"/>
              </w:rPr>
              <w:t>32</w:t>
            </w:r>
          </w:p>
        </w:tc>
        <w:tc>
          <w:tcPr>
            <w:tcW w:w="5467" w:type="dxa"/>
            <w:tcBorders>
              <w:left w:val="single" w:sz="24" w:space="0" w:color="FFFFFF"/>
              <w:right w:val="nil"/>
            </w:tcBorders>
            <w:shd w:val="clear" w:color="auto" w:fill="4F6228" w:themeFill="accent3" w:themeFillShade="80"/>
          </w:tcPr>
          <w:p w:rsidR="00C75948" w:rsidRPr="004B4D19" w:rsidRDefault="00C75948" w:rsidP="00C75948">
            <w:pPr>
              <w:jc w:val="both"/>
              <w:rPr>
                <w:b/>
                <w:bCs/>
                <w:color w:val="FFFFFF"/>
                <w:sz w:val="21"/>
                <w:szCs w:val="21"/>
              </w:rPr>
            </w:pPr>
          </w:p>
        </w:tc>
      </w:tr>
      <w:tr w:rsidR="00C75948"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C75948" w:rsidRPr="004B4D19" w:rsidRDefault="00C75948" w:rsidP="00C75948">
            <w:pPr>
              <w:jc w:val="both"/>
              <w:rPr>
                <w:b/>
                <w:bCs/>
                <w:color w:val="FFFFFF"/>
                <w:sz w:val="20"/>
                <w:szCs w:val="20"/>
              </w:rPr>
            </w:pPr>
            <w:r w:rsidRPr="004B4D19">
              <w:rPr>
                <w:b/>
                <w:bCs/>
                <w:color w:val="FFFFFF"/>
                <w:sz w:val="20"/>
                <w:szCs w:val="20"/>
              </w:rPr>
              <w:t>20.07.2017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26</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C75948" w:rsidRPr="004B4D19" w:rsidRDefault="00C75948" w:rsidP="00C75948">
            <w:pPr>
              <w:jc w:val="both"/>
              <w:rPr>
                <w:color w:val="FFFFFF" w:themeColor="background1"/>
                <w:sz w:val="21"/>
                <w:szCs w:val="21"/>
              </w:rPr>
            </w:pPr>
            <w:r w:rsidRPr="004B4D19">
              <w:rPr>
                <w:color w:val="FFFFFF" w:themeColor="background1"/>
                <w:sz w:val="21"/>
                <w:szCs w:val="21"/>
              </w:rPr>
              <w:t>26</w:t>
            </w:r>
          </w:p>
        </w:tc>
        <w:tc>
          <w:tcPr>
            <w:tcW w:w="1013" w:type="dxa"/>
            <w:tcBorders>
              <w:top w:val="single" w:sz="8" w:space="0" w:color="FFFFFF"/>
              <w:left w:val="single" w:sz="24" w:space="0" w:color="FFFFFF"/>
              <w:bottom w:val="nil"/>
              <w:right w:val="nil"/>
            </w:tcBorders>
            <w:shd w:val="clear" w:color="auto" w:fill="C2D69B" w:themeFill="accent3" w:themeFillTint="99"/>
          </w:tcPr>
          <w:p w:rsidR="00C75948" w:rsidRPr="004B4D19" w:rsidRDefault="00C75948" w:rsidP="00C75948">
            <w:pPr>
              <w:jc w:val="both"/>
              <w:rPr>
                <w:color w:val="000000" w:themeColor="text1"/>
                <w:sz w:val="21"/>
                <w:szCs w:val="21"/>
              </w:rPr>
            </w:pPr>
            <w:r w:rsidRPr="004B4D19">
              <w:rPr>
                <w:color w:val="000000" w:themeColor="text1"/>
                <w:sz w:val="21"/>
                <w:szCs w:val="21"/>
              </w:rPr>
              <w:t>2</w:t>
            </w:r>
            <w:r w:rsidR="005C4C14">
              <w:rPr>
                <w:color w:val="000000" w:themeColor="text1"/>
                <w:sz w:val="21"/>
                <w:szCs w:val="21"/>
              </w:rPr>
              <w:t>6</w:t>
            </w:r>
          </w:p>
        </w:tc>
        <w:tc>
          <w:tcPr>
            <w:tcW w:w="5467" w:type="dxa"/>
            <w:tcBorders>
              <w:left w:val="single" w:sz="24" w:space="0" w:color="FFFFFF"/>
              <w:right w:val="nil"/>
            </w:tcBorders>
            <w:shd w:val="clear" w:color="auto" w:fill="4F6228" w:themeFill="accent3" w:themeFillShade="80"/>
          </w:tcPr>
          <w:p w:rsidR="00C75948" w:rsidRPr="004B4D19" w:rsidRDefault="005C4C14" w:rsidP="00C75948">
            <w:pPr>
              <w:jc w:val="both"/>
              <w:rPr>
                <w:b/>
                <w:bCs/>
                <w:color w:val="FFFFFF"/>
                <w:sz w:val="21"/>
                <w:szCs w:val="21"/>
              </w:rPr>
            </w:pPr>
            <w:r>
              <w:rPr>
                <w:b/>
                <w:bCs/>
                <w:color w:val="FFFFFF"/>
                <w:sz w:val="21"/>
                <w:szCs w:val="21"/>
              </w:rPr>
              <w:t>1 спряна за получаване на допълнителна информация и изслушване на психолог и социален работник; 1 спряна за изслушване на социален работник решена след изслушването му</w:t>
            </w:r>
          </w:p>
        </w:tc>
      </w:tr>
      <w:tr w:rsidR="00C75948"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C75948" w:rsidRPr="004B4D19" w:rsidRDefault="00C75948" w:rsidP="00C75948">
            <w:pPr>
              <w:jc w:val="both"/>
              <w:rPr>
                <w:b/>
                <w:bCs/>
                <w:color w:val="FFFFFF"/>
                <w:sz w:val="20"/>
                <w:szCs w:val="20"/>
              </w:rPr>
            </w:pPr>
            <w:r w:rsidRPr="004B4D19">
              <w:rPr>
                <w:b/>
                <w:bCs/>
                <w:color w:val="FFFFFF"/>
                <w:sz w:val="20"/>
                <w:szCs w:val="20"/>
              </w:rPr>
              <w:t>27.07.2017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C75948" w:rsidRPr="004B4D19" w:rsidRDefault="00C130B7" w:rsidP="00C75948">
            <w:pPr>
              <w:jc w:val="both"/>
              <w:rPr>
                <w:color w:val="FFFFFF" w:themeColor="background1"/>
                <w:sz w:val="21"/>
                <w:szCs w:val="21"/>
              </w:rPr>
            </w:pPr>
            <w:r>
              <w:rPr>
                <w:color w:val="FFFFFF" w:themeColor="background1"/>
                <w:sz w:val="21"/>
                <w:szCs w:val="21"/>
              </w:rPr>
              <w:t>10</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C75948" w:rsidRPr="004B4D19" w:rsidRDefault="00C130B7" w:rsidP="00C75948">
            <w:pPr>
              <w:jc w:val="both"/>
              <w:rPr>
                <w:color w:val="FFFFFF" w:themeColor="background1"/>
                <w:sz w:val="21"/>
                <w:szCs w:val="21"/>
              </w:rPr>
            </w:pPr>
            <w:r>
              <w:rPr>
                <w:color w:val="FFFFFF" w:themeColor="background1"/>
                <w:sz w:val="21"/>
                <w:szCs w:val="21"/>
              </w:rPr>
              <w:t>10</w:t>
            </w:r>
          </w:p>
        </w:tc>
        <w:tc>
          <w:tcPr>
            <w:tcW w:w="1013" w:type="dxa"/>
            <w:tcBorders>
              <w:top w:val="single" w:sz="8" w:space="0" w:color="FFFFFF"/>
              <w:left w:val="single" w:sz="24" w:space="0" w:color="FFFFFF"/>
              <w:bottom w:val="nil"/>
              <w:right w:val="nil"/>
            </w:tcBorders>
            <w:shd w:val="clear" w:color="auto" w:fill="C2D69B" w:themeFill="accent3" w:themeFillTint="99"/>
          </w:tcPr>
          <w:p w:rsidR="00C75948" w:rsidRPr="004B4D19" w:rsidRDefault="00C130B7" w:rsidP="00C75948">
            <w:pPr>
              <w:jc w:val="both"/>
              <w:rPr>
                <w:b/>
                <w:bCs/>
                <w:color w:val="000000" w:themeColor="text1"/>
                <w:sz w:val="21"/>
                <w:szCs w:val="21"/>
              </w:rPr>
            </w:pPr>
            <w:r w:rsidRPr="00C130B7">
              <w:rPr>
                <w:bCs/>
                <w:color w:val="000000" w:themeColor="text1"/>
                <w:sz w:val="21"/>
                <w:szCs w:val="21"/>
              </w:rPr>
              <w:t>1</w:t>
            </w:r>
            <w:r w:rsidR="005C4C14">
              <w:rPr>
                <w:bCs/>
                <w:color w:val="000000" w:themeColor="text1"/>
                <w:sz w:val="21"/>
                <w:szCs w:val="21"/>
              </w:rPr>
              <w:t>1</w:t>
            </w:r>
          </w:p>
        </w:tc>
        <w:tc>
          <w:tcPr>
            <w:tcW w:w="5467" w:type="dxa"/>
            <w:tcBorders>
              <w:left w:val="single" w:sz="24" w:space="0" w:color="FFFFFF"/>
              <w:right w:val="nil"/>
            </w:tcBorders>
            <w:shd w:val="clear" w:color="auto" w:fill="4F6228" w:themeFill="accent3" w:themeFillShade="80"/>
          </w:tcPr>
          <w:p w:rsidR="00C75948" w:rsidRPr="004B4D19" w:rsidRDefault="005C4C14" w:rsidP="00C75948">
            <w:pPr>
              <w:jc w:val="both"/>
              <w:rPr>
                <w:b/>
                <w:bCs/>
                <w:color w:val="FFFFFF"/>
                <w:sz w:val="21"/>
                <w:szCs w:val="21"/>
              </w:rPr>
            </w:pPr>
            <w:r>
              <w:rPr>
                <w:b/>
                <w:bCs/>
                <w:color w:val="FFFFFF"/>
                <w:sz w:val="21"/>
                <w:szCs w:val="21"/>
              </w:rPr>
              <w:t>1 спряна за изслушване на психолог и социален работник решена след изслушването им.</w:t>
            </w:r>
          </w:p>
        </w:tc>
      </w:tr>
      <w:tr w:rsidR="000C5D8A" w:rsidRPr="004B4D19" w:rsidTr="00C75948">
        <w:tc>
          <w:tcPr>
            <w:tcW w:w="1368" w:type="dxa"/>
            <w:tcBorders>
              <w:top w:val="single" w:sz="8" w:space="0" w:color="FFFFFF"/>
              <w:left w:val="single" w:sz="8" w:space="0" w:color="FFFFFF"/>
              <w:right w:val="single" w:sz="24" w:space="0" w:color="FFFFFF"/>
            </w:tcBorders>
            <w:shd w:val="clear" w:color="auto" w:fill="76923C" w:themeFill="accent3" w:themeFillShade="BF"/>
          </w:tcPr>
          <w:p w:rsidR="000C5D8A" w:rsidRPr="004B4D19" w:rsidRDefault="000C5D8A" w:rsidP="00C75948">
            <w:pPr>
              <w:jc w:val="both"/>
              <w:rPr>
                <w:b/>
                <w:bCs/>
                <w:color w:val="FFFFFF"/>
                <w:sz w:val="20"/>
                <w:szCs w:val="20"/>
              </w:rPr>
            </w:pPr>
            <w:r>
              <w:rPr>
                <w:b/>
                <w:bCs/>
                <w:color w:val="FFFFFF"/>
                <w:sz w:val="20"/>
                <w:szCs w:val="20"/>
              </w:rPr>
              <w:t>31.07.2017 г.</w:t>
            </w:r>
          </w:p>
        </w:tc>
        <w:tc>
          <w:tcPr>
            <w:tcW w:w="1530" w:type="dxa"/>
            <w:tcBorders>
              <w:top w:val="single" w:sz="6" w:space="0" w:color="FFFFFF"/>
              <w:left w:val="single" w:sz="8" w:space="0" w:color="FFFFFF"/>
              <w:bottom w:val="nil"/>
              <w:right w:val="single" w:sz="8" w:space="0" w:color="FFFFFF"/>
            </w:tcBorders>
            <w:shd w:val="clear" w:color="auto" w:fill="76923C" w:themeFill="accent3" w:themeFillShade="BF"/>
          </w:tcPr>
          <w:p w:rsidR="000C5D8A" w:rsidRDefault="000C5D8A" w:rsidP="00C75948">
            <w:pPr>
              <w:jc w:val="both"/>
              <w:rPr>
                <w:color w:val="FFFFFF" w:themeColor="background1"/>
                <w:sz w:val="21"/>
                <w:szCs w:val="21"/>
              </w:rPr>
            </w:pPr>
            <w:r>
              <w:rPr>
                <w:color w:val="FFFFFF" w:themeColor="background1"/>
                <w:sz w:val="21"/>
                <w:szCs w:val="21"/>
              </w:rPr>
              <w:t>7</w:t>
            </w:r>
          </w:p>
        </w:tc>
        <w:tc>
          <w:tcPr>
            <w:tcW w:w="1350" w:type="dxa"/>
            <w:tcBorders>
              <w:top w:val="single" w:sz="8" w:space="0" w:color="FFFFFF"/>
              <w:left w:val="single" w:sz="8" w:space="0" w:color="FFFFFF"/>
              <w:bottom w:val="single" w:sz="8" w:space="0" w:color="FFFFFF"/>
              <w:right w:val="single" w:sz="8" w:space="0" w:color="FFFFFF"/>
            </w:tcBorders>
            <w:shd w:val="clear" w:color="auto" w:fill="76923C" w:themeFill="accent3" w:themeFillShade="BF"/>
          </w:tcPr>
          <w:p w:rsidR="000C5D8A" w:rsidRDefault="000C5D8A" w:rsidP="00C75948">
            <w:pPr>
              <w:jc w:val="both"/>
              <w:rPr>
                <w:color w:val="FFFFFF" w:themeColor="background1"/>
                <w:sz w:val="21"/>
                <w:szCs w:val="21"/>
              </w:rPr>
            </w:pPr>
            <w:r>
              <w:rPr>
                <w:color w:val="FFFFFF" w:themeColor="background1"/>
                <w:sz w:val="21"/>
                <w:szCs w:val="21"/>
              </w:rPr>
              <w:t>7</w:t>
            </w:r>
          </w:p>
        </w:tc>
        <w:tc>
          <w:tcPr>
            <w:tcW w:w="1013" w:type="dxa"/>
            <w:tcBorders>
              <w:top w:val="single" w:sz="8" w:space="0" w:color="FFFFFF"/>
              <w:left w:val="single" w:sz="24" w:space="0" w:color="FFFFFF"/>
              <w:bottom w:val="nil"/>
              <w:right w:val="nil"/>
            </w:tcBorders>
            <w:shd w:val="clear" w:color="auto" w:fill="C2D69B" w:themeFill="accent3" w:themeFillTint="99"/>
          </w:tcPr>
          <w:p w:rsidR="000C5D8A" w:rsidRPr="00C130B7" w:rsidRDefault="000C5D8A" w:rsidP="00C75948">
            <w:pPr>
              <w:jc w:val="both"/>
              <w:rPr>
                <w:bCs/>
                <w:color w:val="000000" w:themeColor="text1"/>
                <w:sz w:val="21"/>
                <w:szCs w:val="21"/>
              </w:rPr>
            </w:pPr>
            <w:r>
              <w:rPr>
                <w:bCs/>
                <w:color w:val="000000" w:themeColor="text1"/>
                <w:sz w:val="21"/>
                <w:szCs w:val="21"/>
              </w:rPr>
              <w:t>7</w:t>
            </w:r>
          </w:p>
        </w:tc>
        <w:tc>
          <w:tcPr>
            <w:tcW w:w="5467" w:type="dxa"/>
            <w:tcBorders>
              <w:left w:val="single" w:sz="24" w:space="0" w:color="FFFFFF"/>
              <w:right w:val="nil"/>
            </w:tcBorders>
            <w:shd w:val="clear" w:color="auto" w:fill="4F6228" w:themeFill="accent3" w:themeFillShade="80"/>
          </w:tcPr>
          <w:p w:rsidR="000C5D8A" w:rsidRDefault="000C5D8A" w:rsidP="00C75948">
            <w:pPr>
              <w:jc w:val="both"/>
              <w:rPr>
                <w:b/>
                <w:bCs/>
                <w:color w:val="FFFFFF"/>
                <w:sz w:val="21"/>
                <w:szCs w:val="21"/>
              </w:rPr>
            </w:pPr>
          </w:p>
        </w:tc>
      </w:tr>
      <w:tr w:rsidR="00C75948" w:rsidRPr="004B4D19" w:rsidTr="00C75948">
        <w:tc>
          <w:tcPr>
            <w:tcW w:w="1368" w:type="dxa"/>
            <w:tcBorders>
              <w:top w:val="single" w:sz="8" w:space="0" w:color="FFFFFF"/>
              <w:left w:val="single" w:sz="8" w:space="0" w:color="FFFFFF"/>
              <w:bottom w:val="nil"/>
              <w:right w:val="single" w:sz="24" w:space="0" w:color="FFFFFF"/>
            </w:tcBorders>
            <w:shd w:val="clear" w:color="auto" w:fill="4F6228" w:themeFill="accent3" w:themeFillShade="80"/>
            <w:hideMark/>
          </w:tcPr>
          <w:p w:rsidR="00C75948" w:rsidRPr="004B4D19" w:rsidRDefault="00C75948" w:rsidP="00C75948">
            <w:pPr>
              <w:jc w:val="both"/>
              <w:rPr>
                <w:b/>
                <w:bCs/>
                <w:color w:val="FFFFFF" w:themeColor="background1"/>
                <w:sz w:val="21"/>
                <w:szCs w:val="21"/>
              </w:rPr>
            </w:pPr>
            <w:r w:rsidRPr="004B4D19">
              <w:rPr>
                <w:b/>
                <w:bCs/>
                <w:color w:val="FFFFFF" w:themeColor="background1"/>
                <w:sz w:val="21"/>
                <w:szCs w:val="21"/>
              </w:rPr>
              <w:t>ОБЩО</w:t>
            </w:r>
            <w:r w:rsidRPr="004B4D19">
              <w:rPr>
                <w:b/>
                <w:bCs/>
                <w:color w:val="FFFFFF" w:themeColor="background1"/>
                <w:sz w:val="21"/>
                <w:szCs w:val="21"/>
                <w:lang w:val="en-US"/>
              </w:rPr>
              <w:t xml:space="preserve">: </w:t>
            </w:r>
            <w:r w:rsidR="000C5D8A">
              <w:rPr>
                <w:b/>
                <w:bCs/>
                <w:color w:val="FFFFFF" w:themeColor="background1"/>
                <w:sz w:val="21"/>
                <w:szCs w:val="21"/>
              </w:rPr>
              <w:t xml:space="preserve">  18</w:t>
            </w:r>
            <w:r w:rsidRPr="004B4D19">
              <w:rPr>
                <w:b/>
                <w:bCs/>
                <w:color w:val="FFFFFF" w:themeColor="background1"/>
                <w:sz w:val="21"/>
                <w:szCs w:val="21"/>
                <w:lang w:val="en-US"/>
              </w:rPr>
              <w:t xml:space="preserve"> </w:t>
            </w:r>
            <w:r w:rsidRPr="004B4D19">
              <w:rPr>
                <w:b/>
                <w:bCs/>
                <w:color w:val="FFFFFF" w:themeColor="background1"/>
                <w:sz w:val="21"/>
                <w:szCs w:val="21"/>
              </w:rPr>
              <w:t>заседания</w:t>
            </w:r>
          </w:p>
        </w:tc>
        <w:tc>
          <w:tcPr>
            <w:tcW w:w="3893" w:type="dxa"/>
            <w:gridSpan w:val="3"/>
            <w:tcBorders>
              <w:top w:val="single" w:sz="6" w:space="0" w:color="FFFFFF"/>
              <w:left w:val="single" w:sz="8" w:space="0" w:color="FFFFFF"/>
              <w:bottom w:val="nil"/>
              <w:right w:val="single" w:sz="8" w:space="0" w:color="FFFFFF"/>
            </w:tcBorders>
            <w:shd w:val="clear" w:color="auto" w:fill="4F6228" w:themeFill="accent3" w:themeFillShade="80"/>
          </w:tcPr>
          <w:p w:rsidR="00C75948" w:rsidRPr="004B4D19" w:rsidRDefault="000C5D8A" w:rsidP="00C75948">
            <w:pPr>
              <w:tabs>
                <w:tab w:val="left" w:pos="1903"/>
                <w:tab w:val="center" w:pos="2252"/>
              </w:tabs>
              <w:jc w:val="right"/>
              <w:rPr>
                <w:b/>
                <w:color w:val="FFFFFF" w:themeColor="background1"/>
                <w:sz w:val="21"/>
                <w:szCs w:val="21"/>
              </w:rPr>
            </w:pPr>
            <w:r>
              <w:rPr>
                <w:b/>
                <w:color w:val="FFFFFF" w:themeColor="background1"/>
                <w:sz w:val="21"/>
                <w:szCs w:val="21"/>
              </w:rPr>
              <w:t>285</w:t>
            </w:r>
            <w:r w:rsidR="00C75948" w:rsidRPr="004B4D19">
              <w:rPr>
                <w:b/>
                <w:color w:val="FFFFFF" w:themeColor="background1"/>
                <w:sz w:val="21"/>
                <w:szCs w:val="21"/>
              </w:rPr>
              <w:t xml:space="preserve">     </w:t>
            </w:r>
          </w:p>
        </w:tc>
        <w:tc>
          <w:tcPr>
            <w:tcW w:w="5467" w:type="dxa"/>
            <w:tcBorders>
              <w:top w:val="single" w:sz="8" w:space="0" w:color="FFFFFF"/>
              <w:left w:val="single" w:sz="24" w:space="0" w:color="FFFFFF"/>
              <w:bottom w:val="nil"/>
              <w:right w:val="nil"/>
            </w:tcBorders>
            <w:shd w:val="clear" w:color="auto" w:fill="4F6228" w:themeFill="accent3" w:themeFillShade="80"/>
          </w:tcPr>
          <w:p w:rsidR="00C75948" w:rsidRPr="004B4D19" w:rsidRDefault="00C75948" w:rsidP="00C75948">
            <w:pPr>
              <w:jc w:val="both"/>
              <w:rPr>
                <w:b/>
                <w:bCs/>
                <w:color w:val="FFFFFF" w:themeColor="background1"/>
                <w:sz w:val="21"/>
                <w:szCs w:val="21"/>
              </w:rPr>
            </w:pPr>
          </w:p>
        </w:tc>
      </w:tr>
    </w:tbl>
    <w:p w:rsidR="003E2F37" w:rsidRPr="004B4D19" w:rsidRDefault="003E2F37" w:rsidP="00726CF7">
      <w:pPr>
        <w:pStyle w:val="ListParagraph"/>
        <w:ind w:left="0" w:firstLine="708"/>
        <w:jc w:val="both"/>
        <w:rPr>
          <w:b/>
          <w:sz w:val="28"/>
          <w:szCs w:val="28"/>
        </w:rPr>
      </w:pPr>
    </w:p>
    <w:p w:rsidR="008B2CAA" w:rsidRDefault="008B2CAA">
      <w:pPr>
        <w:rPr>
          <w:b/>
          <w:sz w:val="28"/>
          <w:szCs w:val="28"/>
        </w:rPr>
      </w:pPr>
      <w:r>
        <w:rPr>
          <w:b/>
          <w:sz w:val="28"/>
          <w:szCs w:val="28"/>
        </w:rPr>
        <w:br w:type="page"/>
      </w:r>
    </w:p>
    <w:p w:rsidR="003E2F37" w:rsidRPr="004B4D19" w:rsidRDefault="003E2F37" w:rsidP="00726CF7">
      <w:pPr>
        <w:pStyle w:val="ListParagraph"/>
        <w:ind w:left="0" w:firstLine="708"/>
        <w:jc w:val="both"/>
        <w:rPr>
          <w:b/>
          <w:sz w:val="28"/>
          <w:szCs w:val="28"/>
        </w:rPr>
      </w:pPr>
    </w:p>
    <w:p w:rsidR="00726CF7" w:rsidRPr="004B4D19" w:rsidRDefault="008B2CAA" w:rsidP="00726CF7">
      <w:pPr>
        <w:pStyle w:val="ListParagraph"/>
        <w:ind w:left="0" w:firstLine="708"/>
        <w:jc w:val="both"/>
        <w:rPr>
          <w:b/>
          <w:sz w:val="28"/>
          <w:szCs w:val="28"/>
        </w:rPr>
      </w:pPr>
      <w:r>
        <w:rPr>
          <w:b/>
          <w:sz w:val="28"/>
          <w:szCs w:val="28"/>
        </w:rPr>
        <w:t>1</w:t>
      </w:r>
      <w:r w:rsidR="00330DBD" w:rsidRPr="004B4D19">
        <w:rPr>
          <w:b/>
          <w:sz w:val="28"/>
          <w:szCs w:val="28"/>
        </w:rPr>
        <w:t>.2 ПРОФИЛ НА ОСЪДЕНИТЕ МОЛИТЕЛИ</w:t>
      </w:r>
    </w:p>
    <w:p w:rsidR="00081A71" w:rsidRPr="004B4D19" w:rsidRDefault="00081A71" w:rsidP="00726CF7">
      <w:pPr>
        <w:pStyle w:val="ListParagraph"/>
        <w:ind w:left="0" w:firstLine="708"/>
        <w:jc w:val="both"/>
        <w:rPr>
          <w:b/>
        </w:rPr>
      </w:pPr>
    </w:p>
    <w:p w:rsidR="00726CF7" w:rsidRPr="004B4D19" w:rsidRDefault="008B2CAA" w:rsidP="00726CF7">
      <w:pPr>
        <w:pStyle w:val="ListParagraph"/>
        <w:ind w:left="0" w:firstLine="708"/>
        <w:jc w:val="both"/>
        <w:rPr>
          <w:b/>
        </w:rPr>
      </w:pPr>
      <w:r>
        <w:rPr>
          <w:b/>
        </w:rPr>
        <w:t>1</w:t>
      </w:r>
      <w:r w:rsidR="00B95AFF" w:rsidRPr="004B4D19">
        <w:rPr>
          <w:b/>
        </w:rPr>
        <w:t>.2.1</w:t>
      </w:r>
      <w:r w:rsidR="00726CF7" w:rsidRPr="004B4D19">
        <w:rPr>
          <w:b/>
        </w:rPr>
        <w:t>. Личен профил</w:t>
      </w:r>
    </w:p>
    <w:p w:rsidR="00E22615" w:rsidRDefault="00E22615" w:rsidP="00726CF7">
      <w:pPr>
        <w:pStyle w:val="ListParagraph"/>
        <w:ind w:left="0" w:firstLine="708"/>
        <w:jc w:val="both"/>
      </w:pPr>
    </w:p>
    <w:p w:rsidR="00726CF7" w:rsidRPr="004B4D19" w:rsidRDefault="00B42EB9" w:rsidP="00726CF7">
      <w:pPr>
        <w:pStyle w:val="ListParagraph"/>
        <w:ind w:left="0" w:firstLine="708"/>
        <w:jc w:val="both"/>
      </w:pPr>
      <w:r>
        <w:rPr>
          <w:noProof/>
        </w:rPr>
        <w:drawing>
          <wp:anchor distT="0" distB="0" distL="114300" distR="114300" simplePos="0" relativeHeight="251632640" behindDoc="0" locked="0" layoutInCell="1" allowOverlap="1">
            <wp:simplePos x="0" y="0"/>
            <wp:positionH relativeFrom="column">
              <wp:posOffset>19050</wp:posOffset>
            </wp:positionH>
            <wp:positionV relativeFrom="paragraph">
              <wp:posOffset>28575</wp:posOffset>
            </wp:positionV>
            <wp:extent cx="2914650" cy="1628775"/>
            <wp:effectExtent l="0" t="0" r="0"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726CF7" w:rsidRPr="004B4D19">
        <w:t xml:space="preserve">През </w:t>
      </w:r>
      <w:r w:rsidR="002B2376" w:rsidRPr="004B4D19">
        <w:t>отчетния период</w:t>
      </w:r>
      <w:r w:rsidR="00726CF7" w:rsidRPr="004B4D19">
        <w:t xml:space="preserve"> са подадени молби </w:t>
      </w:r>
      <w:r w:rsidR="00BD4DC3" w:rsidRPr="004B4D19">
        <w:t>в полза на</w:t>
      </w:r>
      <w:r w:rsidR="00726CF7" w:rsidRPr="004B4D19">
        <w:t xml:space="preserve"> </w:t>
      </w:r>
      <w:r w:rsidR="008B2CAA">
        <w:rPr>
          <w:b/>
        </w:rPr>
        <w:t>246</w:t>
      </w:r>
      <w:r w:rsidR="00760D77" w:rsidRPr="004B4D19">
        <w:rPr>
          <w:b/>
        </w:rPr>
        <w:t xml:space="preserve"> осъдени лица</w:t>
      </w:r>
      <w:r w:rsidR="00760D77" w:rsidRPr="004B4D19">
        <w:t xml:space="preserve">. От тях </w:t>
      </w:r>
      <w:r>
        <w:t>11</w:t>
      </w:r>
      <w:r w:rsidR="00726CF7" w:rsidRPr="004B4D19">
        <w:t xml:space="preserve"> </w:t>
      </w:r>
      <w:r w:rsidR="00760D77" w:rsidRPr="004B4D19">
        <w:t xml:space="preserve">са </w:t>
      </w:r>
      <w:r w:rsidR="00726CF7" w:rsidRPr="004B4D19">
        <w:rPr>
          <w:b/>
        </w:rPr>
        <w:t>жен</w:t>
      </w:r>
      <w:r w:rsidR="00760D77" w:rsidRPr="004B4D19">
        <w:rPr>
          <w:b/>
        </w:rPr>
        <w:t>и</w:t>
      </w:r>
      <w:r w:rsidR="00726CF7" w:rsidRPr="004B4D19">
        <w:t xml:space="preserve">. </w:t>
      </w:r>
    </w:p>
    <w:p w:rsidR="00760D77" w:rsidRDefault="00726CF7" w:rsidP="00760D77">
      <w:pPr>
        <w:pStyle w:val="ListParagraph"/>
        <w:ind w:left="0" w:firstLine="708"/>
        <w:jc w:val="both"/>
      </w:pPr>
      <w:r w:rsidRPr="004B4D19">
        <w:t xml:space="preserve">Най-активна в търсенето на помилване </w:t>
      </w:r>
      <w:r w:rsidR="00B42EB9">
        <w:t>продължава</w:t>
      </w:r>
      <w:r w:rsidR="00B42EB9" w:rsidRPr="004B4D19">
        <w:t xml:space="preserve"> </w:t>
      </w:r>
      <w:r w:rsidR="00B42EB9">
        <w:t xml:space="preserve">да </w:t>
      </w:r>
      <w:r w:rsidRPr="004B4D19">
        <w:t>е групата в активна трудоспособна възраст</w:t>
      </w:r>
      <w:r w:rsidR="0063210B" w:rsidRPr="004B4D19">
        <w:t>.</w:t>
      </w:r>
      <w:r w:rsidRPr="004B4D19">
        <w:t xml:space="preserve"> </w:t>
      </w:r>
      <w:r w:rsidR="0063210B" w:rsidRPr="004B4D19">
        <w:t>О</w:t>
      </w:r>
      <w:r w:rsidRPr="004B4D19">
        <w:t>съдените между 25 и 45 години надхвърлят 7</w:t>
      </w:r>
      <w:r w:rsidR="00760D77" w:rsidRPr="004B4D19">
        <w:t>5</w:t>
      </w:r>
      <w:r w:rsidRPr="004B4D19">
        <w:t>% от всички молители.</w:t>
      </w:r>
      <w:r w:rsidR="00F143EB" w:rsidRPr="004B4D19">
        <w:t xml:space="preserve"> </w:t>
      </w:r>
      <w:r w:rsidR="00B42EB9">
        <w:t>В старческа възраст са 5 осъдени и един не е навършил 21 години.</w:t>
      </w:r>
    </w:p>
    <w:p w:rsidR="00E22615" w:rsidRPr="004B4D19" w:rsidRDefault="00E22615" w:rsidP="00760D77">
      <w:pPr>
        <w:pStyle w:val="ListParagraph"/>
        <w:ind w:left="0" w:firstLine="708"/>
        <w:jc w:val="both"/>
      </w:pPr>
    </w:p>
    <w:p w:rsidR="00760D77" w:rsidRDefault="00B4246D" w:rsidP="00760D77">
      <w:pPr>
        <w:ind w:firstLine="720"/>
        <w:jc w:val="both"/>
        <w:rPr>
          <w:noProof/>
        </w:rPr>
      </w:pPr>
      <w:r>
        <w:rPr>
          <w:noProof/>
        </w:rPr>
        <w:drawing>
          <wp:anchor distT="0" distB="0" distL="114300" distR="114300" simplePos="0" relativeHeight="251635712" behindDoc="1" locked="0" layoutInCell="1" allowOverlap="1">
            <wp:simplePos x="0" y="0"/>
            <wp:positionH relativeFrom="column">
              <wp:posOffset>304800</wp:posOffset>
            </wp:positionH>
            <wp:positionV relativeFrom="paragraph">
              <wp:posOffset>741045</wp:posOffset>
            </wp:positionV>
            <wp:extent cx="3057525" cy="1685925"/>
            <wp:effectExtent l="0" t="0" r="9525" b="9525"/>
            <wp:wrapTight wrapText="bothSides">
              <wp:wrapPolygon edited="0">
                <wp:start x="0" y="0"/>
                <wp:lineTo x="0" y="21478"/>
                <wp:lineTo x="21533" y="21478"/>
                <wp:lineTo x="21533"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D26179" w:rsidRPr="00D26179">
        <w:rPr>
          <w:b/>
        </w:rPr>
        <w:t>Половината молители (49%)</w:t>
      </w:r>
      <w:r w:rsidR="00760D77" w:rsidRPr="00D26179">
        <w:rPr>
          <w:b/>
        </w:rPr>
        <w:t xml:space="preserve"> нямат никаква професия и никога не са работили</w:t>
      </w:r>
      <w:r w:rsidR="00760D77" w:rsidRPr="004B4D19">
        <w:t>.</w:t>
      </w:r>
      <w:r w:rsidR="005C32AF" w:rsidRPr="004B4D19">
        <w:t xml:space="preserve"> </w:t>
      </w:r>
      <w:r w:rsidR="00D26179">
        <w:t>Повечето (35% от всички молители)</w:t>
      </w:r>
      <w:r w:rsidR="00760D77" w:rsidRPr="004B4D19">
        <w:t xml:space="preserve"> са практически социално изключени и водят престъпен начин на живот, като се издържат основно от користни престъпления и периодични престои в затвора. </w:t>
      </w:r>
      <w:r w:rsidR="00273E9A" w:rsidRPr="004B4D19">
        <w:t>Голяма</w:t>
      </w:r>
      <w:r w:rsidR="00760D77" w:rsidRPr="004B4D19">
        <w:t xml:space="preserve"> част от тях нямат навършени </w:t>
      </w:r>
      <w:r w:rsidR="00D26179">
        <w:t>40</w:t>
      </w:r>
      <w:r w:rsidR="00760D77" w:rsidRPr="004B4D19">
        <w:t xml:space="preserve"> години. </w:t>
      </w:r>
      <w:r w:rsidR="00D26179">
        <w:t>Група от 16 % (40 молители)</w:t>
      </w:r>
      <w:r w:rsidR="00760D77" w:rsidRPr="004B4D19">
        <w:t xml:space="preserve"> нямат квалификация, но са полагали общ физически труд. </w:t>
      </w:r>
      <w:r w:rsidR="00D26179">
        <w:t>Около 20 % имат опит в квалифициран физически труд, 7 молители са с инженерна специалност, а 3 са заети в търговията. Трима осъдени са пенсионери.</w:t>
      </w:r>
      <w:r w:rsidRPr="00B4246D">
        <w:rPr>
          <w:noProof/>
        </w:rPr>
        <w:t xml:space="preserve"> </w:t>
      </w:r>
    </w:p>
    <w:p w:rsidR="00E22615" w:rsidRPr="004B4D19" w:rsidRDefault="00E22615" w:rsidP="00760D77">
      <w:pPr>
        <w:ind w:firstLine="720"/>
        <w:jc w:val="both"/>
      </w:pPr>
    </w:p>
    <w:p w:rsidR="00760D77" w:rsidRDefault="00692FA2" w:rsidP="00A5051C">
      <w:pPr>
        <w:ind w:firstLine="720"/>
        <w:jc w:val="both"/>
      </w:pPr>
      <w:r>
        <w:rPr>
          <w:noProof/>
        </w:rPr>
        <w:drawing>
          <wp:anchor distT="0" distB="0" distL="114300" distR="114300" simplePos="0" relativeHeight="251648000" behindDoc="0" locked="0" layoutInCell="1" allowOverlap="1">
            <wp:simplePos x="0" y="0"/>
            <wp:positionH relativeFrom="column">
              <wp:posOffset>-57150</wp:posOffset>
            </wp:positionH>
            <wp:positionV relativeFrom="paragraph">
              <wp:posOffset>953135</wp:posOffset>
            </wp:positionV>
            <wp:extent cx="2990850" cy="1771650"/>
            <wp:effectExtent l="0" t="0" r="0" b="0"/>
            <wp:wrapSquare wrapText="bothSides"/>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081A71" w:rsidRPr="00B4246D">
        <w:t>М</w:t>
      </w:r>
      <w:r w:rsidR="00760D77" w:rsidRPr="00B4246D">
        <w:t>олителите без трудови навици и умения изцяло включв</w:t>
      </w:r>
      <w:r w:rsidR="00B4246D">
        <w:t>ат най-слабо образованите групи</w:t>
      </w:r>
      <w:r w:rsidR="00760D77" w:rsidRPr="004B4D19">
        <w:t xml:space="preserve">.  </w:t>
      </w:r>
      <w:r w:rsidR="00A5051C" w:rsidRPr="004B4D19">
        <w:t>Запазва се тенденцията да</w:t>
      </w:r>
      <w:r w:rsidR="00760D77" w:rsidRPr="004B4D19">
        <w:t xml:space="preserve"> намаля</w:t>
      </w:r>
      <w:r w:rsidR="00A5051C" w:rsidRPr="004B4D19">
        <w:t>ва</w:t>
      </w:r>
      <w:r w:rsidR="00760D77" w:rsidRPr="004B4D19">
        <w:t xml:space="preserve"> делът на неграмотните молители</w:t>
      </w:r>
      <w:r w:rsidR="00B4246D">
        <w:t xml:space="preserve"> за сметка на образованите, но в групите на начално и основно образование </w:t>
      </w:r>
      <w:r w:rsidR="00B4246D" w:rsidRPr="00B4246D">
        <w:t>достигнатото образователно равнище не е източник на реални знания</w:t>
      </w:r>
      <w:r w:rsidR="00A5051C" w:rsidRPr="004B4D19">
        <w:t>.</w:t>
      </w:r>
      <w:r w:rsidR="00B4246D">
        <w:t xml:space="preserve"> Тези лица формално са обхванати от образователната система, но полученото образование не е препятствало престъпната дейност. </w:t>
      </w:r>
    </w:p>
    <w:p w:rsidR="00E22615" w:rsidRPr="004B4D19" w:rsidRDefault="00E22615" w:rsidP="00A5051C">
      <w:pPr>
        <w:ind w:firstLine="720"/>
        <w:jc w:val="both"/>
      </w:pPr>
    </w:p>
    <w:p w:rsidR="00E22615" w:rsidRDefault="0010391E" w:rsidP="00E22615">
      <w:pPr>
        <w:pStyle w:val="ListParagraph"/>
        <w:ind w:left="0" w:firstLine="708"/>
        <w:jc w:val="both"/>
        <w:rPr>
          <w:noProof/>
        </w:rPr>
      </w:pPr>
      <w:r w:rsidRPr="004B4D19">
        <w:t>Повечето молители от отчетния п</w:t>
      </w:r>
      <w:r w:rsidR="004623F7" w:rsidRPr="004B4D19">
        <w:t>ериод ня</w:t>
      </w:r>
      <w:r w:rsidR="00273E9A" w:rsidRPr="004B4D19">
        <w:t xml:space="preserve">мат семейство. </w:t>
      </w:r>
      <w:r w:rsidR="00692FA2">
        <w:t>От тях 32</w:t>
      </w:r>
      <w:r w:rsidRPr="004B4D19">
        <w:t xml:space="preserve">% изобщо не са създавали такова, а </w:t>
      </w:r>
      <w:r w:rsidR="004623F7" w:rsidRPr="004B4D19">
        <w:t xml:space="preserve">при </w:t>
      </w:r>
      <w:r w:rsidR="00692FA2">
        <w:t>9</w:t>
      </w:r>
      <w:r w:rsidR="00406A94" w:rsidRPr="004B4D19">
        <w:t> </w:t>
      </w:r>
      <w:r w:rsidRPr="004B4D19">
        <w:t>% то се е разпаднало.</w:t>
      </w:r>
      <w:r w:rsidR="00406A94" w:rsidRPr="004B4D19">
        <w:rPr>
          <w:noProof/>
        </w:rPr>
        <w:t xml:space="preserve"> </w:t>
      </w:r>
      <w:r w:rsidR="00692FA2">
        <w:rPr>
          <w:noProof/>
        </w:rPr>
        <w:t xml:space="preserve">Все пак, </w:t>
      </w:r>
      <w:r w:rsidR="00692FA2" w:rsidRPr="00692FA2">
        <w:rPr>
          <w:b/>
          <w:noProof/>
        </w:rPr>
        <w:t>почти половината молители са семейни, но семейната среда не е оказала въздържащ ефект върху престъпното поведение</w:t>
      </w:r>
      <w:r w:rsidR="00692FA2">
        <w:rPr>
          <w:noProof/>
        </w:rPr>
        <w:t>.</w:t>
      </w:r>
    </w:p>
    <w:p w:rsidR="00E22615" w:rsidRDefault="00E22615" w:rsidP="00E22615">
      <w:pPr>
        <w:pStyle w:val="ListParagraph"/>
        <w:ind w:left="0" w:firstLine="708"/>
        <w:jc w:val="both"/>
        <w:rPr>
          <w:noProof/>
        </w:rPr>
      </w:pPr>
    </w:p>
    <w:p w:rsidR="00726CF7" w:rsidRPr="004B4D19" w:rsidRDefault="00E22615" w:rsidP="00E22615">
      <w:pPr>
        <w:pStyle w:val="ListParagraph"/>
        <w:ind w:left="0" w:firstLine="708"/>
        <w:jc w:val="both"/>
        <w:rPr>
          <w:noProof/>
        </w:rPr>
      </w:pPr>
      <w:r>
        <w:rPr>
          <w:noProof/>
        </w:rPr>
        <w:drawing>
          <wp:anchor distT="0" distB="0" distL="114300" distR="114300" simplePos="0" relativeHeight="251692032" behindDoc="1" locked="0" layoutInCell="1" allowOverlap="1">
            <wp:simplePos x="0" y="0"/>
            <wp:positionH relativeFrom="column">
              <wp:posOffset>3350260</wp:posOffset>
            </wp:positionH>
            <wp:positionV relativeFrom="paragraph">
              <wp:posOffset>118745</wp:posOffset>
            </wp:positionV>
            <wp:extent cx="3152775" cy="1476375"/>
            <wp:effectExtent l="0" t="0" r="9525" b="9525"/>
            <wp:wrapSquare wrapText="bothSides"/>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Pr>
          <w:noProof/>
        </w:rPr>
        <w:t xml:space="preserve">Над половината молители са родители на деца, ненавършили пълнолетие, за които са длъжни да полагат грижи и да осигуряват издръжка. </w:t>
      </w:r>
      <w:r w:rsidR="00225374" w:rsidRPr="004B4D19">
        <w:t xml:space="preserve">Сред </w:t>
      </w:r>
      <w:r>
        <w:t>тях</w:t>
      </w:r>
      <w:r w:rsidR="00225374" w:rsidRPr="004B4D19">
        <w:t xml:space="preserve"> п</w:t>
      </w:r>
      <w:r w:rsidR="00581010" w:rsidRPr="004B4D19">
        <w:t>реоблад</w:t>
      </w:r>
      <w:r w:rsidR="004F3691" w:rsidRPr="004B4D19">
        <w:t>а</w:t>
      </w:r>
      <w:r w:rsidR="00581010" w:rsidRPr="004B4D19">
        <w:t xml:space="preserve">ват </w:t>
      </w:r>
      <w:r w:rsidR="00225374" w:rsidRPr="004B4D19">
        <w:t>такива</w:t>
      </w:r>
      <w:r w:rsidR="00581010" w:rsidRPr="004B4D19">
        <w:t>, които нямат умения да полагат системни грижи за децата и близките си.</w:t>
      </w:r>
      <w:r>
        <w:t xml:space="preserve"> Отделни молители грешат броя и възрастта на децата си или са осъждани за престъпления срещу тях. </w:t>
      </w:r>
    </w:p>
    <w:p w:rsidR="00330DBD" w:rsidRDefault="00330DBD" w:rsidP="000971B0">
      <w:pPr>
        <w:ind w:firstLine="720"/>
        <w:jc w:val="both"/>
      </w:pPr>
    </w:p>
    <w:p w:rsidR="00E22615" w:rsidRDefault="00E22615" w:rsidP="000971B0">
      <w:pPr>
        <w:ind w:firstLine="720"/>
        <w:jc w:val="both"/>
      </w:pPr>
    </w:p>
    <w:p w:rsidR="00726CF7" w:rsidRPr="004B4D19" w:rsidRDefault="0046146F" w:rsidP="00726CF7">
      <w:pPr>
        <w:ind w:firstLine="720"/>
        <w:jc w:val="both"/>
        <w:rPr>
          <w:b/>
        </w:rPr>
      </w:pPr>
      <w:r>
        <w:rPr>
          <w:b/>
        </w:rPr>
        <w:t>1</w:t>
      </w:r>
      <w:r w:rsidR="00726CF7" w:rsidRPr="004B4D19">
        <w:rPr>
          <w:b/>
        </w:rPr>
        <w:t>.2.</w:t>
      </w:r>
      <w:r w:rsidR="00B95AFF" w:rsidRPr="004B4D19">
        <w:rPr>
          <w:b/>
        </w:rPr>
        <w:t>2</w:t>
      </w:r>
      <w:r w:rsidR="00726CF7" w:rsidRPr="004B4D19">
        <w:rPr>
          <w:b/>
        </w:rPr>
        <w:t xml:space="preserve">. Престъпен модел и риск от рецидив </w:t>
      </w:r>
    </w:p>
    <w:p w:rsidR="00587BB5" w:rsidRPr="004B4D19" w:rsidRDefault="00800404" w:rsidP="00D424BB">
      <w:pPr>
        <w:ind w:firstLine="720"/>
        <w:jc w:val="both"/>
      </w:pPr>
      <w:r>
        <w:t>М</w:t>
      </w:r>
      <w:r w:rsidR="00726CF7" w:rsidRPr="004B4D19">
        <w:t>олители</w:t>
      </w:r>
      <w:r>
        <w:t>те, чиито молби за помилване са разгледани през полугодието, изтърпяват наказание за общо близо 800</w:t>
      </w:r>
      <w:r w:rsidR="00726CF7" w:rsidRPr="004B4D19">
        <w:t xml:space="preserve"> престъпления</w:t>
      </w:r>
      <w:r>
        <w:t>.</w:t>
      </w:r>
      <w:r w:rsidR="00726CF7" w:rsidRPr="004B4D19">
        <w:t xml:space="preserve"> </w:t>
      </w:r>
      <w:r>
        <w:t>Н</w:t>
      </w:r>
      <w:r w:rsidR="002B2376" w:rsidRPr="004B4D19">
        <w:t>ай-голям е от</w:t>
      </w:r>
      <w:r w:rsidR="00ED2528" w:rsidRPr="004B4D19">
        <w:t>носителният дял на кражбите (</w:t>
      </w:r>
      <w:r>
        <w:t>200</w:t>
      </w:r>
      <w:r w:rsidR="002B2376" w:rsidRPr="004B4D19">
        <w:t>)</w:t>
      </w:r>
      <w:r w:rsidR="00D424BB" w:rsidRPr="004B4D19">
        <w:t>, а</w:t>
      </w:r>
      <w:r w:rsidR="002B2376" w:rsidRPr="004B4D19">
        <w:t xml:space="preserve"> </w:t>
      </w:r>
      <w:r w:rsidR="00D424BB" w:rsidRPr="00593F7F">
        <w:rPr>
          <w:b/>
        </w:rPr>
        <w:t>кори</w:t>
      </w:r>
      <w:r w:rsidRPr="00593F7F">
        <w:rPr>
          <w:b/>
        </w:rPr>
        <w:t>стният мотив</w:t>
      </w:r>
      <w:r>
        <w:t xml:space="preserve"> е характерен за над половината</w:t>
      </w:r>
      <w:r w:rsidR="00D424BB" w:rsidRPr="004B4D19">
        <w:t xml:space="preserve"> от всички извършени от молителите престъпления</w:t>
      </w:r>
      <w:r>
        <w:t xml:space="preserve"> (408)</w:t>
      </w:r>
      <w:r w:rsidR="00D424BB" w:rsidRPr="004B4D19">
        <w:t xml:space="preserve">. </w:t>
      </w:r>
      <w:r>
        <w:rPr>
          <w:b/>
        </w:rPr>
        <w:t>П</w:t>
      </w:r>
      <w:r w:rsidR="00C8478B" w:rsidRPr="004B4D19">
        <w:rPr>
          <w:b/>
        </w:rPr>
        <w:t>осегателства</w:t>
      </w:r>
      <w:r w:rsidR="00D424BB" w:rsidRPr="004B4D19">
        <w:rPr>
          <w:b/>
        </w:rPr>
        <w:t>та</w:t>
      </w:r>
      <w:r w:rsidR="00726CF7" w:rsidRPr="004B4D19">
        <w:rPr>
          <w:b/>
        </w:rPr>
        <w:t xml:space="preserve"> с елемент на насилие</w:t>
      </w:r>
      <w:r w:rsidR="00726CF7" w:rsidRPr="004B4D19">
        <w:t xml:space="preserve"> </w:t>
      </w:r>
      <w:r>
        <w:t>са 28</w:t>
      </w:r>
      <w:r w:rsidR="00593F7F">
        <w:t>5</w:t>
      </w:r>
      <w:r>
        <w:t xml:space="preserve"> (</w:t>
      </w:r>
      <w:r w:rsidR="00726CF7" w:rsidRPr="004B4D19">
        <w:t>убийства, телесни повреди, сексуални престъпления, гр</w:t>
      </w:r>
      <w:r>
        <w:t>абежи, отвличане, хулиганство</w:t>
      </w:r>
      <w:r w:rsidR="00726CF7" w:rsidRPr="004B4D19">
        <w:t>)</w:t>
      </w:r>
      <w:r w:rsidR="00B4167A" w:rsidRPr="004B4D19">
        <w:t>.</w:t>
      </w:r>
      <w:r w:rsidR="00726CF7" w:rsidRPr="004B4D19">
        <w:t xml:space="preserve"> </w:t>
      </w:r>
      <w:r w:rsidR="00B4167A" w:rsidRPr="004B4D19">
        <w:t>О</w:t>
      </w:r>
      <w:r w:rsidR="00726CF7" w:rsidRPr="004B4D19">
        <w:t xml:space="preserve">т </w:t>
      </w:r>
      <w:r w:rsidR="00B4167A" w:rsidRPr="004B4D19">
        <w:t>тях</w:t>
      </w:r>
      <w:r w:rsidR="00726CF7" w:rsidRPr="004B4D19">
        <w:t xml:space="preserve"> </w:t>
      </w:r>
      <w:r>
        <w:t>122</w:t>
      </w:r>
      <w:r w:rsidR="00726CF7" w:rsidRPr="004B4D19">
        <w:t xml:space="preserve"> са заст</w:t>
      </w:r>
      <w:r w:rsidR="00C8478B" w:rsidRPr="004B4D19">
        <w:t>рашили или отнели човешки живот</w:t>
      </w:r>
      <w:r w:rsidR="00D424BB" w:rsidRPr="004B4D19">
        <w:t xml:space="preserve">, а </w:t>
      </w:r>
      <w:r w:rsidR="00593F7F">
        <w:t>5</w:t>
      </w:r>
      <w:r w:rsidR="00D424BB" w:rsidRPr="004B4D19">
        <w:t xml:space="preserve"> имат за </w:t>
      </w:r>
      <w:r w:rsidR="00593F7F">
        <w:t xml:space="preserve">пряк </w:t>
      </w:r>
      <w:r w:rsidR="00D424BB" w:rsidRPr="004B4D19">
        <w:t>пострадал дете</w:t>
      </w:r>
      <w:r w:rsidR="00726CF7" w:rsidRPr="004B4D19">
        <w:t>.</w:t>
      </w:r>
      <w:r w:rsidR="00D424BB" w:rsidRPr="004B4D19">
        <w:t xml:space="preserve"> </w:t>
      </w:r>
      <w:r w:rsidR="00740322" w:rsidRPr="004B4D19">
        <w:t>Относително висок е и делът н</w:t>
      </w:r>
      <w:r w:rsidR="00593F7F">
        <w:t>а транспортните престъпления (67</w:t>
      </w:r>
      <w:r w:rsidR="00740322" w:rsidRPr="004B4D19">
        <w:t>)</w:t>
      </w:r>
      <w:r w:rsidR="00593F7F">
        <w:t xml:space="preserve"> и дилърството на наркотици (21)</w:t>
      </w:r>
      <w:r w:rsidR="00740322" w:rsidRPr="004B4D19">
        <w:t>.</w:t>
      </w:r>
    </w:p>
    <w:p w:rsidR="00737B7B" w:rsidRDefault="00737B7B" w:rsidP="003947C0">
      <w:pPr>
        <w:ind w:firstLine="720"/>
        <w:jc w:val="both"/>
      </w:pPr>
      <w:r>
        <w:t xml:space="preserve">Дял от 63 </w:t>
      </w:r>
      <w:r w:rsidR="00A87628" w:rsidRPr="004B4D19">
        <w:t>от молителите</w:t>
      </w:r>
      <w:r w:rsidR="00267F39" w:rsidRPr="004B4D19">
        <w:t xml:space="preserve"> </w:t>
      </w:r>
      <w:r w:rsidR="00157748" w:rsidRPr="004B4D19">
        <w:t>са</w:t>
      </w:r>
      <w:r w:rsidR="00A87628" w:rsidRPr="004B4D19">
        <w:t xml:space="preserve"> осъден</w:t>
      </w:r>
      <w:r w:rsidR="00157748" w:rsidRPr="004B4D19">
        <w:t>и</w:t>
      </w:r>
      <w:r w:rsidR="00A87628" w:rsidRPr="004B4D19">
        <w:t xml:space="preserve"> за първо в живота </w:t>
      </w:r>
      <w:r w:rsidR="00157748" w:rsidRPr="004B4D19">
        <w:t>им</w:t>
      </w:r>
      <w:r w:rsidR="00A87628" w:rsidRPr="004B4D19">
        <w:t xml:space="preserve"> посегателство.</w:t>
      </w:r>
      <w:r w:rsidR="002213B1" w:rsidRPr="004B4D19">
        <w:t xml:space="preserve"> Всички </w:t>
      </w:r>
      <w:r w:rsidR="00157748" w:rsidRPr="004B4D19">
        <w:t xml:space="preserve">останали </w:t>
      </w:r>
      <w:r w:rsidR="00A87628" w:rsidRPr="004B4D19">
        <w:t>са извършвали престъпления в миналото</w:t>
      </w:r>
      <w:r w:rsidR="002213B1" w:rsidRPr="004B4D19">
        <w:t xml:space="preserve">, като </w:t>
      </w:r>
      <w:r w:rsidR="00F36A18">
        <w:t>2</w:t>
      </w:r>
      <w:r>
        <w:t>3</w:t>
      </w:r>
      <w:r w:rsidR="002213B1" w:rsidRPr="004B4D19">
        <w:t xml:space="preserve"> са се реабилитирали преди актуалното си осъждане. </w:t>
      </w:r>
    </w:p>
    <w:p w:rsidR="004D79CF" w:rsidRDefault="00737B7B" w:rsidP="003947C0">
      <w:pPr>
        <w:ind w:firstLine="720"/>
        <w:jc w:val="both"/>
      </w:pPr>
      <w:r>
        <w:t>Близо 40% от</w:t>
      </w:r>
      <w:r w:rsidR="00C8478B" w:rsidRPr="004B4D19">
        <w:t xml:space="preserve"> молители</w:t>
      </w:r>
      <w:r>
        <w:t>те</w:t>
      </w:r>
      <w:r w:rsidR="002213B1" w:rsidRPr="004B4D19">
        <w:t xml:space="preserve"> разкриват устойчив престъпен модел, а при </w:t>
      </w:r>
      <w:r w:rsidR="00C8478B" w:rsidRPr="004B4D19">
        <w:t xml:space="preserve">други </w:t>
      </w:r>
      <w:r>
        <w:t>17 %</w:t>
      </w:r>
      <w:r w:rsidR="00C8478B" w:rsidRPr="004B4D19">
        <w:t xml:space="preserve"> </w:t>
      </w:r>
      <w:r w:rsidR="002213B1" w:rsidRPr="004B4D19">
        <w:t xml:space="preserve">той ескалира в по-тежки престъпления след всяко осъждане. </w:t>
      </w:r>
      <w:r w:rsidR="00267F39" w:rsidRPr="004B4D19">
        <w:t xml:space="preserve">Тези видове престъпно поведение не се повлияват от предходно наложената наказателна репресия поради криминогенни обстоятелства, свързани с ранно оформен начин на живот на молителя на свобода, неговата среда и умения за законосъобразно справяне, включително недостига на подкрепа от обществото и държавата за по-лесно вграждане след напускане на затвора. </w:t>
      </w:r>
    </w:p>
    <w:p w:rsidR="00587BB5" w:rsidRPr="004B4D19" w:rsidRDefault="00AD604D" w:rsidP="00AD604D">
      <w:pPr>
        <w:ind w:firstLine="720"/>
        <w:jc w:val="both"/>
      </w:pPr>
      <w:r w:rsidRPr="004B4D19">
        <w:rPr>
          <w:noProof/>
        </w:rPr>
        <w:drawing>
          <wp:anchor distT="0" distB="0" distL="114300" distR="114300" simplePos="0" relativeHeight="251644928" behindDoc="1" locked="0" layoutInCell="1" allowOverlap="1" wp14:anchorId="2C153A28" wp14:editId="4564D6AA">
            <wp:simplePos x="0" y="0"/>
            <wp:positionH relativeFrom="column">
              <wp:posOffset>3695700</wp:posOffset>
            </wp:positionH>
            <wp:positionV relativeFrom="paragraph">
              <wp:posOffset>727075</wp:posOffset>
            </wp:positionV>
            <wp:extent cx="2773045" cy="1480185"/>
            <wp:effectExtent l="0" t="0" r="8255" b="5715"/>
            <wp:wrapTight wrapText="bothSides">
              <wp:wrapPolygon edited="0">
                <wp:start x="0" y="0"/>
                <wp:lineTo x="0" y="21405"/>
                <wp:lineTo x="21516" y="21405"/>
                <wp:lineTo x="21516"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4D79CF">
        <w:t>Десет</w:t>
      </w:r>
      <w:r w:rsidR="00267F39" w:rsidRPr="004B4D19">
        <w:t xml:space="preserve"> осъдени са нарушили изпитателни</w:t>
      </w:r>
      <w:r w:rsidR="004D79CF">
        <w:t>я</w:t>
      </w:r>
      <w:r w:rsidR="00267F39" w:rsidRPr="004B4D19">
        <w:t xml:space="preserve"> срок </w:t>
      </w:r>
      <w:r w:rsidR="004D79CF">
        <w:t xml:space="preserve">по условно осъждане </w:t>
      </w:r>
      <w:r w:rsidR="00267F39" w:rsidRPr="004B4D19">
        <w:t>с ново престъпление</w:t>
      </w:r>
      <w:r w:rsidR="00737B7B">
        <w:t>, а с</w:t>
      </w:r>
      <w:r w:rsidR="004D79CF">
        <w:t>амо един е рецидивирал след условно предсрочно освобождаване.</w:t>
      </w:r>
      <w:r>
        <w:t xml:space="preserve"> П</w:t>
      </w:r>
      <w:r w:rsidR="00267F39" w:rsidRPr="004B4D19">
        <w:t xml:space="preserve">ри </w:t>
      </w:r>
      <w:r>
        <w:t>17</w:t>
      </w:r>
      <w:r w:rsidR="00267F39" w:rsidRPr="004B4D19">
        <w:t xml:space="preserve"> молители рецидивът е обикновен, т.е. дължи се на неблагоприятно стичане на житейски обстоятелства, между новото и старото престъпление няма връзка на устойчиво криминално поведение, а новото е по-леко от старото.</w:t>
      </w:r>
    </w:p>
    <w:p w:rsidR="00AD604D" w:rsidRDefault="00AD604D" w:rsidP="0087236C">
      <w:pPr>
        <w:ind w:firstLine="720"/>
        <w:jc w:val="both"/>
        <w:rPr>
          <w:noProof/>
        </w:rPr>
      </w:pPr>
      <w:r>
        <w:t>Отново</w:t>
      </w:r>
      <w:r w:rsidR="009D4D0D" w:rsidRPr="004B4D19">
        <w:t xml:space="preserve"> най-голяма е групата на осъдените със среден риск</w:t>
      </w:r>
      <w:r>
        <w:t xml:space="preserve"> от рецидив</w:t>
      </w:r>
      <w:r w:rsidR="009D4D0D" w:rsidRPr="004B4D19">
        <w:t xml:space="preserve"> (</w:t>
      </w:r>
      <w:r>
        <w:t>54%</w:t>
      </w:r>
      <w:r w:rsidR="00C8478B" w:rsidRPr="004B4D19">
        <w:t>).</w:t>
      </w:r>
      <w:r w:rsidR="00C8478B" w:rsidRPr="004B4D19">
        <w:rPr>
          <w:noProof/>
        </w:rPr>
        <w:t xml:space="preserve"> </w:t>
      </w:r>
    </w:p>
    <w:p w:rsidR="0087236C" w:rsidRPr="004B4D19" w:rsidRDefault="00243911" w:rsidP="0087236C">
      <w:pPr>
        <w:ind w:firstLine="720"/>
        <w:jc w:val="both"/>
      </w:pPr>
      <w:r w:rsidRPr="004B4D19">
        <w:t>Най-често рискът от рецидив</w:t>
      </w:r>
      <w:r w:rsidR="00BD62CA" w:rsidRPr="004B4D19">
        <w:t xml:space="preserve"> </w:t>
      </w:r>
      <w:r w:rsidR="0087236C" w:rsidRPr="004B4D19">
        <w:t>е обусловен от:</w:t>
      </w:r>
    </w:p>
    <w:p w:rsidR="00473391" w:rsidRPr="004B4D19" w:rsidRDefault="00473391" w:rsidP="0087236C">
      <w:pPr>
        <w:ind w:firstLine="720"/>
        <w:jc w:val="both"/>
      </w:pPr>
      <w:r w:rsidRPr="004B4D19">
        <w:t>- дефицити в ценностните нагласи и уменията за мислене, свързани със способността на молителите да се преценяват различни житейски ситуации и да формират адекватна поведенческа реакция към тях (,,начин и умения за мислене. нагласи“). Тези дефицити засягат 75% от молителите и са в основата на повтарящи</w:t>
      </w:r>
      <w:r w:rsidR="00243911" w:rsidRPr="004B4D19">
        <w:t>те</w:t>
      </w:r>
      <w:r w:rsidRPr="004B4D19">
        <w:t xml:space="preserve"> се криминални поведенчески стратегии; </w:t>
      </w:r>
    </w:p>
    <w:p w:rsidR="0087236C" w:rsidRPr="004B4D19" w:rsidRDefault="00AD604D" w:rsidP="0087236C">
      <w:pPr>
        <w:ind w:firstLine="720"/>
        <w:jc w:val="both"/>
      </w:pPr>
      <w:r w:rsidRPr="004B4D19">
        <w:rPr>
          <w:noProof/>
        </w:rPr>
        <mc:AlternateContent>
          <mc:Choice Requires="wpg">
            <w:drawing>
              <wp:anchor distT="0" distB="0" distL="114300" distR="114300" simplePos="0" relativeHeight="251693056" behindDoc="0" locked="0" layoutInCell="1" allowOverlap="1" wp14:anchorId="488C1232" wp14:editId="40A2EB38">
                <wp:simplePos x="0" y="0"/>
                <wp:positionH relativeFrom="column">
                  <wp:posOffset>-457200</wp:posOffset>
                </wp:positionH>
                <wp:positionV relativeFrom="paragraph">
                  <wp:posOffset>653768</wp:posOffset>
                </wp:positionV>
                <wp:extent cx="7804785" cy="2895600"/>
                <wp:effectExtent l="0" t="0" r="5715" b="0"/>
                <wp:wrapTopAndBottom/>
                <wp:docPr id="22" name="Group 22"/>
                <wp:cNvGraphicFramePr/>
                <a:graphic xmlns:a="http://schemas.openxmlformats.org/drawingml/2006/main">
                  <a:graphicData uri="http://schemas.microsoft.com/office/word/2010/wordprocessingGroup">
                    <wpg:wgp>
                      <wpg:cNvGrpSpPr/>
                      <wpg:grpSpPr>
                        <a:xfrm>
                          <a:off x="0" y="0"/>
                          <a:ext cx="7804785" cy="2895600"/>
                          <a:chOff x="-468085" y="0"/>
                          <a:chExt cx="7804875" cy="2647950"/>
                        </a:xfrm>
                      </wpg:grpSpPr>
                      <wpg:graphicFrame>
                        <wpg:cNvPr id="21" name="Chart 21"/>
                        <wpg:cNvFrPr/>
                        <wpg:xfrm>
                          <a:off x="-468085" y="0"/>
                          <a:ext cx="7804875" cy="2647950"/>
                        </wpg:xfrm>
                        <a:graphic>
                          <a:graphicData uri="http://schemas.openxmlformats.org/drawingml/2006/chart">
                            <c:chart xmlns:c="http://schemas.openxmlformats.org/drawingml/2006/chart" xmlns:r="http://schemas.openxmlformats.org/officeDocument/2006/relationships" r:id="rId14"/>
                          </a:graphicData>
                        </a:graphic>
                      </wpg:graphicFrame>
                      <wps:wsp>
                        <wps:cNvPr id="11" name="TextBox 1"/>
                        <wps:cNvSpPr txBox="1"/>
                        <wps:spPr>
                          <a:xfrm>
                            <a:off x="4913601" y="391967"/>
                            <a:ext cx="1724045" cy="1927054"/>
                          </a:xfrm>
                          <a:prstGeom prst="rect">
                            <a:avLst/>
                          </a:prstGeom>
                          <a:ln>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8B2CAA" w:rsidRDefault="008B2CAA" w:rsidP="005F059D">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FF0000"/>
                                  <w:sz w:val="20"/>
                                  <w:szCs w:val="20"/>
                                </w:rPr>
                                <w:t>червено</w:t>
                              </w:r>
                              <w:r>
                                <w:rPr>
                                  <w:rFonts w:asciiTheme="majorHAnsi" w:hAnsi="Cambria" w:cstheme="minorBidi"/>
                                  <w:color w:val="FF0000"/>
                                  <w:sz w:val="20"/>
                                  <w:szCs w:val="20"/>
                                </w:rPr>
                                <w:t xml:space="preserve"> </w:t>
                              </w:r>
                              <w:r>
                                <w:rPr>
                                  <w:rFonts w:asciiTheme="majorHAnsi" w:hAnsi="Cambria" w:cstheme="minorBidi"/>
                                  <w:color w:val="000000" w:themeColor="dark1"/>
                                  <w:sz w:val="20"/>
                                  <w:szCs w:val="20"/>
                                </w:rPr>
                                <w:t xml:space="preserve">са отбелязани динамичните зони, които могат да се  повлияят от наказанието. Измененията в тях са сред показателите за преценка на корекционните ресурси и резултати на осъдения. </w:t>
                              </w:r>
                            </w:p>
                            <w:p w:rsidR="008B2CAA" w:rsidRDefault="008B2CAA" w:rsidP="005F059D">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548DD4" w:themeColor="text2" w:themeTint="99"/>
                                  <w:sz w:val="20"/>
                                  <w:szCs w:val="20"/>
                                </w:rPr>
                                <w:t>синьо</w:t>
                              </w:r>
                              <w:r>
                                <w:rPr>
                                  <w:rFonts w:asciiTheme="majorHAnsi" w:hAnsi="Cambria" w:cstheme="minorBidi"/>
                                  <w:color w:val="548DD4" w:themeColor="text2" w:themeTint="99"/>
                                  <w:sz w:val="20"/>
                                  <w:szCs w:val="20"/>
                                </w:rPr>
                                <w:t xml:space="preserve"> </w:t>
                              </w:r>
                              <w:r>
                                <w:rPr>
                                  <w:rFonts w:asciiTheme="majorHAnsi" w:hAnsi="Cambria" w:cstheme="minorBidi"/>
                                  <w:color w:val="000000" w:themeColor="dark1"/>
                                  <w:sz w:val="20"/>
                                  <w:szCs w:val="20"/>
                                </w:rPr>
                                <w:t xml:space="preserve">са статичните зони, които наказанието </w:t>
                              </w:r>
                              <w:r w:rsidR="009E3670">
                                <w:rPr>
                                  <w:rFonts w:asciiTheme="majorHAnsi" w:hAnsi="Cambria" w:cstheme="minorBidi"/>
                                  <w:color w:val="000000" w:themeColor="dark1"/>
                                  <w:sz w:val="20"/>
                                  <w:szCs w:val="20"/>
                                </w:rPr>
                                <w:t xml:space="preserve">по принцип </w:t>
                              </w:r>
                              <w:r>
                                <w:rPr>
                                  <w:rFonts w:asciiTheme="majorHAnsi" w:hAnsi="Cambria" w:cstheme="minorBidi"/>
                                  <w:color w:val="000000" w:themeColor="dark1"/>
                                  <w:sz w:val="20"/>
                                  <w:szCs w:val="20"/>
                                </w:rPr>
                                <w:t>не може да промени.</w:t>
                              </w:r>
                            </w:p>
                          </w:txbxContent>
                        </wps:txbx>
                        <wps:bodyPr vertOverflow="clip"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88C1232" id="Group 22" o:spid="_x0000_s1026" style="position:absolute;left:0;text-align:left;margin-left:-36pt;margin-top:51.5pt;width:614.55pt;height:228pt;z-index:251693056;mso-width-relative:margin;mso-height-relative:margin" coordorigin="-4680" coordsize="78048,26479"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1" o:spid="_x0000_s1027" type="#_x0000_t75" style="position:absolute;left:-4741;top:-55;width:78150;height:265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">
                  <v:imagedata r:id="rId15" o:title=""/>
                  <o:lock v:ext="edit" aspectratio="f"/>
                </v:shape>
                <v:shapetype id="_x0000_t202" coordsize="21600,21600" o:spt="202" path="m,l,21600r21600,l21600,xe">
                  <v:stroke joinstyle="miter"/>
                  <v:path gradientshapeok="t" o:connecttype="rect"/>
                </v:shapetype>
                <v:shape id="TextBox 1" o:spid="_x0000_s1028" type="#_x0000_t202" style="position:absolute;left:49136;top:3919;width:17240;height:19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9I0sMA&#10;AADbAAAADwAAAGRycy9kb3ducmV2LnhtbERPS2sCMRC+C/0PYYReSs3agtqtUUrBYvEgahH2Nmxm&#10;H5hMliTV9d+bQsHbfHzPmS97a8SZfGgdKxiPMhDEpdMt1wp+DqvnGYgQkTUax6TgSgGWi4fBHHPt&#10;Lryj8z7WIoVwyFFBE2OXSxnKhiyGkeuIE1c5bzEm6GupPV5SuDXyJcsm0mLLqaHBjj4bKk/7X6tA&#10;FuZrg6/fRfW0ne7C0a/Wb0ej1OOw/3gHEamPd/G/e63T/DH8/ZIO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9I0sMAAADbAAAADwAAAAAAAAAAAAAAAACYAgAAZHJzL2Rv&#10;d25yZXYueG1sUEsFBgAAAAAEAAQA9QAAAIgDAAAAAA==&#10;" fillcolor="white [3201]" strokecolor="#8db3e2 [1311]" strokeweight="2pt">
                  <v:textbox>
                    <w:txbxContent>
                      <w:p w:rsidR="008B2CAA" w:rsidRDefault="008B2CAA" w:rsidP="005F059D">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FF0000"/>
                            <w:sz w:val="20"/>
                            <w:szCs w:val="20"/>
                          </w:rPr>
                          <w:t>червено</w:t>
                        </w:r>
                        <w:r>
                          <w:rPr>
                            <w:rFonts w:asciiTheme="majorHAnsi" w:hAnsi="Cambria" w:cstheme="minorBidi"/>
                            <w:color w:val="FF0000"/>
                            <w:sz w:val="20"/>
                            <w:szCs w:val="20"/>
                          </w:rPr>
                          <w:t xml:space="preserve"> </w:t>
                        </w:r>
                        <w:r>
                          <w:rPr>
                            <w:rFonts w:asciiTheme="majorHAnsi" w:hAnsi="Cambria" w:cstheme="minorBidi"/>
                            <w:color w:val="000000" w:themeColor="dark1"/>
                            <w:sz w:val="20"/>
                            <w:szCs w:val="20"/>
                          </w:rPr>
                          <w:t xml:space="preserve">са отбелязани динамичните зони, които могат да се  повлияят от наказанието. Измененията в тях са сред показателите за преценка на корекционните ресурси и резултати на осъдения. </w:t>
                        </w:r>
                      </w:p>
                      <w:p w:rsidR="008B2CAA" w:rsidRDefault="008B2CAA" w:rsidP="005F059D">
                        <w:pPr>
                          <w:pStyle w:val="NormalWeb"/>
                          <w:spacing w:before="0" w:beforeAutospacing="0" w:after="0" w:afterAutospacing="0"/>
                        </w:pPr>
                        <w:r>
                          <w:rPr>
                            <w:rFonts w:asciiTheme="majorHAnsi" w:hAnsi="Cambria" w:cstheme="minorBidi"/>
                            <w:color w:val="000000" w:themeColor="dark1"/>
                            <w:sz w:val="20"/>
                            <w:szCs w:val="20"/>
                          </w:rPr>
                          <w:t xml:space="preserve">В </w:t>
                        </w:r>
                        <w:r>
                          <w:rPr>
                            <w:rFonts w:asciiTheme="majorHAnsi" w:hAnsi="Cambria" w:cstheme="minorBidi"/>
                            <w:b/>
                            <w:bCs/>
                            <w:color w:val="548DD4" w:themeColor="text2" w:themeTint="99"/>
                            <w:sz w:val="20"/>
                            <w:szCs w:val="20"/>
                          </w:rPr>
                          <w:t>синьо</w:t>
                        </w:r>
                        <w:r>
                          <w:rPr>
                            <w:rFonts w:asciiTheme="majorHAnsi" w:hAnsi="Cambria" w:cstheme="minorBidi"/>
                            <w:color w:val="548DD4" w:themeColor="text2" w:themeTint="99"/>
                            <w:sz w:val="20"/>
                            <w:szCs w:val="20"/>
                          </w:rPr>
                          <w:t xml:space="preserve"> </w:t>
                        </w:r>
                        <w:r>
                          <w:rPr>
                            <w:rFonts w:asciiTheme="majorHAnsi" w:hAnsi="Cambria" w:cstheme="minorBidi"/>
                            <w:color w:val="000000" w:themeColor="dark1"/>
                            <w:sz w:val="20"/>
                            <w:szCs w:val="20"/>
                          </w:rPr>
                          <w:t xml:space="preserve">са статичните зони, които наказанието </w:t>
                        </w:r>
                        <w:r w:rsidR="009E3670">
                          <w:rPr>
                            <w:rFonts w:asciiTheme="majorHAnsi" w:hAnsi="Cambria" w:cstheme="minorBidi"/>
                            <w:color w:val="000000" w:themeColor="dark1"/>
                            <w:sz w:val="20"/>
                            <w:szCs w:val="20"/>
                          </w:rPr>
                          <w:t xml:space="preserve">по принцип </w:t>
                        </w:r>
                        <w:r>
                          <w:rPr>
                            <w:rFonts w:asciiTheme="majorHAnsi" w:hAnsi="Cambria" w:cstheme="minorBidi"/>
                            <w:color w:val="000000" w:themeColor="dark1"/>
                            <w:sz w:val="20"/>
                            <w:szCs w:val="20"/>
                          </w:rPr>
                          <w:t>не може да промени.</w:t>
                        </w:r>
                      </w:p>
                    </w:txbxContent>
                  </v:textbox>
                </v:shape>
                <w10:wrap type="topAndBottom"/>
              </v:group>
            </w:pict>
          </mc:Fallback>
        </mc:AlternateContent>
      </w:r>
      <w:r w:rsidR="0087236C" w:rsidRPr="004B4D19">
        <w:t>- безкритичното отношение на дееца към извършеното от него и причинените с престъплението вреди</w:t>
      </w:r>
      <w:r w:rsidR="00473391" w:rsidRPr="004B4D19">
        <w:t>.</w:t>
      </w:r>
      <w:r w:rsidR="0087236C" w:rsidRPr="004B4D19">
        <w:t xml:space="preserve"> </w:t>
      </w:r>
      <w:r w:rsidR="00473391" w:rsidRPr="004B4D19">
        <w:t xml:space="preserve">Осъденият често е </w:t>
      </w:r>
      <w:r w:rsidR="0087236C" w:rsidRPr="004B4D19">
        <w:t xml:space="preserve">безразличен или отмъстителен към пострадалите, като </w:t>
      </w:r>
      <w:r w:rsidR="0087236C" w:rsidRPr="004B4D19">
        <w:lastRenderedPageBreak/>
        <w:t xml:space="preserve">способността </w:t>
      </w:r>
      <w:r w:rsidR="00473391" w:rsidRPr="004B4D19">
        <w:t>му да изпитва</w:t>
      </w:r>
      <w:r w:rsidR="0087236C" w:rsidRPr="004B4D19">
        <w:t xml:space="preserve"> съпричастност към другите и вина за причинените </w:t>
      </w:r>
      <w:r w:rsidR="00243911" w:rsidRPr="004B4D19">
        <w:t xml:space="preserve">им </w:t>
      </w:r>
      <w:r w:rsidR="0087236C" w:rsidRPr="004B4D19">
        <w:t>страдания е сериозно нарушена или отсъства (,,отношение към правонарушението“)</w:t>
      </w:r>
      <w:r w:rsidR="00473391" w:rsidRPr="004B4D19">
        <w:t xml:space="preserve">. Дефицитите в тази зона устойчиво засягат </w:t>
      </w:r>
      <w:r w:rsidRPr="004B4D19">
        <w:t xml:space="preserve">над половината </w:t>
      </w:r>
      <w:r>
        <w:t>от молителите. Тези осъдени не разбират какво в поведението им е укоримо и неприемливо, не осъзнават последиците му, нито причините, довели до извършването му</w:t>
      </w:r>
      <w:r w:rsidR="0087236C" w:rsidRPr="004B4D19">
        <w:t>;</w:t>
      </w:r>
    </w:p>
    <w:p w:rsidR="0087236C" w:rsidRPr="004B4D19" w:rsidRDefault="0087236C" w:rsidP="0087236C">
      <w:pPr>
        <w:ind w:firstLine="720"/>
        <w:jc w:val="both"/>
      </w:pPr>
      <w:r w:rsidRPr="004B4D19">
        <w:t>- формираните устойчиви житейски стратегии, които предполагат извършване на престъпления или създават криминогенни условия. Липсата на критичност към извършеното е подсилено от средата, в която молителите живеят и която не подкрепя законосъобразно поведение и не санкционира незаконосъобразен начин на живот (,,</w:t>
      </w:r>
      <w:r w:rsidR="00243911" w:rsidRPr="004B4D19">
        <w:t xml:space="preserve">начин на живот и обкръжение“). Дефицитите в тази зона възникват при криминогенен стил на отглеждане на молителя от ранно детство и определят висока резистентност към наказателна репресия. Те са изключително устойчиви и много слабо се влияят от поправителното действие на наказанието. </w:t>
      </w:r>
    </w:p>
    <w:p w:rsidR="0087236C" w:rsidRPr="004B4D19" w:rsidRDefault="0087236C" w:rsidP="005F059D">
      <w:pPr>
        <w:ind w:firstLine="720"/>
        <w:jc w:val="both"/>
      </w:pPr>
      <w:r w:rsidRPr="004B4D19">
        <w:t>Много често дефицитите в тези три зони са съчетани помежду си и обуславят дефицити в зоните на емоционалните фактори, междуличностовото общуване и семейните отношения. Типично тези осъдени се считат несправедливо наказани</w:t>
      </w:r>
      <w:r w:rsidR="005F059D" w:rsidRPr="004B4D19">
        <w:t>.</w:t>
      </w:r>
      <w:r w:rsidRPr="004B4D19">
        <w:t xml:space="preserve"> </w:t>
      </w:r>
      <w:r w:rsidR="005F059D" w:rsidRPr="004B4D19">
        <w:t>О</w:t>
      </w:r>
      <w:r w:rsidRPr="004B4D19">
        <w:t>тношението им към наложеното наказание е негодуващо и</w:t>
      </w:r>
      <w:r w:rsidR="00826A07">
        <w:t>ли</w:t>
      </w:r>
      <w:r w:rsidRPr="004B4D19">
        <w:t xml:space="preserve"> самосъжалително, а към институциите и обществото – враждебно и неискрено. Поради типичния за </w:t>
      </w:r>
      <w:r w:rsidR="005F059D" w:rsidRPr="004B4D19">
        <w:t>тях</w:t>
      </w:r>
      <w:r w:rsidRPr="004B4D19">
        <w:t xml:space="preserve"> недостиг на позитивен социален опит и ресурс за социализация поправителният процес е в застой, а когато се развива, той е бавен, колеблив, противоречив и не успява да преодолее стабилизираните криминални стереотипи. </w:t>
      </w:r>
    </w:p>
    <w:p w:rsidR="009E3670" w:rsidRDefault="009E3670" w:rsidP="009E3670">
      <w:pPr>
        <w:ind w:firstLine="720"/>
        <w:jc w:val="both"/>
      </w:pPr>
      <w:r>
        <w:t>През полугодието относително висок е ръстът на молителите с дефицити в зоната на ,,настоящо правонарушение“, която предполага тежки или системно извършвани престъпления.</w:t>
      </w:r>
    </w:p>
    <w:p w:rsidR="0087236C" w:rsidRPr="004B4D19" w:rsidRDefault="00F068F7" w:rsidP="00826A07">
      <w:pPr>
        <w:pStyle w:val="ListParagraph"/>
        <w:ind w:left="0" w:firstLine="708"/>
        <w:jc w:val="both"/>
        <w:rPr>
          <w:noProof/>
          <w:lang w:eastAsia="en-US"/>
        </w:rPr>
      </w:pPr>
      <w:r>
        <w:t>Молителите</w:t>
      </w:r>
      <w:r w:rsidR="0087236C" w:rsidRPr="004B4D19">
        <w:t xml:space="preserve"> с висок и среден към висок риск от рецидив </w:t>
      </w:r>
      <w:r>
        <w:t>ч</w:t>
      </w:r>
      <w:r w:rsidR="00826A07">
        <w:t>есто не осъзнават зависимостта между</w:t>
      </w:r>
      <w:r w:rsidR="0087236C" w:rsidRPr="004B4D19">
        <w:t xml:space="preserve"> </w:t>
      </w:r>
      <w:r w:rsidR="00826A07">
        <w:t>престъпното им поведение и полученото наказание</w:t>
      </w:r>
      <w:r w:rsidR="0087236C" w:rsidRPr="004B4D19">
        <w:t xml:space="preserve">. </w:t>
      </w:r>
      <w:r w:rsidR="00826A07">
        <w:t>Поради това те не полагат</w:t>
      </w:r>
      <w:r w:rsidR="0087236C" w:rsidRPr="004B4D19">
        <w:t xml:space="preserve"> усилия за изграждане на трудови навици, повишаване на образованието,</w:t>
      </w:r>
      <w:r w:rsidR="00826A07">
        <w:t xml:space="preserve"> преодоляване на зависимости и т.н</w:t>
      </w:r>
      <w:r>
        <w:t>. Те</w:t>
      </w:r>
      <w:r w:rsidR="0087236C" w:rsidRPr="004B4D19">
        <w:t xml:space="preserve"> са емоционално незрели и поведенчески нестабилни, с ограничени, еднотипни и повърхностни социални контакти и еднообразен, фиксиран върху непосредствените битови потребности начин на живот.</w:t>
      </w:r>
      <w:r w:rsidR="00826A07">
        <w:t xml:space="preserve"> Повечето</w:t>
      </w:r>
      <w:r w:rsidR="0087236C" w:rsidRPr="004B4D19">
        <w:t xml:space="preserve"> </w:t>
      </w:r>
      <w:r w:rsidR="00826A07">
        <w:t xml:space="preserve">имат </w:t>
      </w:r>
      <w:r w:rsidR="0087236C" w:rsidRPr="004B4D19">
        <w:t>вредни и асоциални навици (алкохолна</w:t>
      </w:r>
      <w:r w:rsidR="00826A07">
        <w:t>/наркотична/хазартна</w:t>
      </w:r>
      <w:r w:rsidR="0087236C" w:rsidRPr="004B4D19">
        <w:t xml:space="preserve"> зависимост</w:t>
      </w:r>
      <w:r w:rsidR="00826A07">
        <w:t>, домашно насилие, скитничество</w:t>
      </w:r>
      <w:r w:rsidR="0087236C" w:rsidRPr="004B4D19">
        <w:t xml:space="preserve">), </w:t>
      </w:r>
      <w:r w:rsidR="00826A07">
        <w:t xml:space="preserve">нямат здравни навици, </w:t>
      </w:r>
      <w:r w:rsidR="0087236C" w:rsidRPr="004B4D19">
        <w:t>образователни интереси, пълноценни приятелства и семейни връзки.</w:t>
      </w:r>
      <w:r w:rsidR="0087236C" w:rsidRPr="004B4D19">
        <w:rPr>
          <w:noProof/>
          <w:lang w:val="en-US" w:eastAsia="en-US"/>
        </w:rPr>
        <w:t xml:space="preserve"> </w:t>
      </w:r>
    </w:p>
    <w:p w:rsidR="005B4EB5" w:rsidRPr="004B4D19" w:rsidRDefault="00F068F7" w:rsidP="00726CF7">
      <w:pPr>
        <w:pStyle w:val="ListParagraph"/>
        <w:ind w:left="0" w:firstLine="708"/>
        <w:jc w:val="both"/>
      </w:pPr>
      <w:r>
        <w:t>Т</w:t>
      </w:r>
      <w:r w:rsidR="005B4EB5" w:rsidRPr="004B4D19">
        <w:t>ези осъдени не се повлияват от наказателна репресия. Повечето от тях не се плашат от перспективата да бъдат периодично затваряни в места за лишаване от свобода, където получават здравни</w:t>
      </w:r>
      <w:r>
        <w:t>, битови</w:t>
      </w:r>
      <w:r w:rsidR="005B4EB5" w:rsidRPr="004B4D19">
        <w:t xml:space="preserve"> и социални грижи, достъп до образование</w:t>
      </w:r>
      <w:r>
        <w:t>, труд</w:t>
      </w:r>
      <w:r w:rsidR="005B4EB5" w:rsidRPr="004B4D19">
        <w:t xml:space="preserve"> и квал</w:t>
      </w:r>
      <w:r>
        <w:t>и</w:t>
      </w:r>
      <w:r w:rsidR="005B4EB5" w:rsidRPr="004B4D19">
        <w:t xml:space="preserve">фикация, </w:t>
      </w:r>
      <w:r>
        <w:t>а</w:t>
      </w:r>
      <w:r w:rsidR="005B4EB5" w:rsidRPr="004B4D19">
        <w:t xml:space="preserve"> социалната среда им е позната и я преживяват като приятелска. </w:t>
      </w:r>
    </w:p>
    <w:p w:rsidR="0087236C" w:rsidRPr="004B4D19" w:rsidRDefault="00F068F7" w:rsidP="0087236C">
      <w:pPr>
        <w:ind w:firstLine="720"/>
        <w:jc w:val="both"/>
      </w:pPr>
      <w:r>
        <w:t>М</w:t>
      </w:r>
      <w:r w:rsidR="0087236C" w:rsidRPr="004B4D19">
        <w:rPr>
          <w:b/>
        </w:rPr>
        <w:t>олителите с нисък риск</w:t>
      </w:r>
      <w:r w:rsidR="00BD62CA" w:rsidRPr="004B4D19">
        <w:t xml:space="preserve"> </w:t>
      </w:r>
      <w:r w:rsidR="0087236C" w:rsidRPr="004B4D19">
        <w:t xml:space="preserve">често </w:t>
      </w:r>
      <w:r w:rsidR="007717FF" w:rsidRPr="004B4D19">
        <w:t>са</w:t>
      </w:r>
      <w:r w:rsidR="0087236C" w:rsidRPr="004B4D19">
        <w:t xml:space="preserve"> показва</w:t>
      </w:r>
      <w:r w:rsidR="007717FF" w:rsidRPr="004B4D19">
        <w:t>ли</w:t>
      </w:r>
      <w:r w:rsidR="0087236C" w:rsidRPr="004B4D19">
        <w:t xml:space="preserve"> </w:t>
      </w:r>
      <w:r>
        <w:t>такъв</w:t>
      </w:r>
      <w:r w:rsidR="0087236C" w:rsidRPr="004B4D19">
        <w:t xml:space="preserve"> риск още </w:t>
      </w:r>
      <w:r w:rsidR="007717FF" w:rsidRPr="004B4D19">
        <w:t>с</w:t>
      </w:r>
      <w:r w:rsidR="0087236C" w:rsidRPr="004B4D19">
        <w:t xml:space="preserve"> постъпването си в затвора. </w:t>
      </w:r>
      <w:r w:rsidR="007717FF" w:rsidRPr="004B4D19">
        <w:t>В о</w:t>
      </w:r>
      <w:r w:rsidR="0087236C" w:rsidRPr="004B4D19">
        <w:t>тделни случаи ниските стойности са обусловени от по-напреднал корекционен процес в последните етапи от наказанието, който обаче не разкрива изключителност, за да бъде обсъждан като основание за помилване.</w:t>
      </w:r>
      <w:r w:rsidR="004D1A00" w:rsidRPr="004B4D19">
        <w:t xml:space="preserve"> В други случаи става въпрос за високоадаптивни осъдени, които бързо и лесно се приспособяват към затворната среда и нейните правила</w:t>
      </w:r>
      <w:r>
        <w:t>.</w:t>
      </w:r>
      <w:r w:rsidR="004D1A00" w:rsidRPr="004B4D19">
        <w:t xml:space="preserve"> </w:t>
      </w:r>
      <w:r>
        <w:t>(такива типично са трафиканти на хора и наркотици, извършители на организирана престъпна дейност, корупционни престъпления, инцидентни извършители на тежки престъпления)</w:t>
      </w:r>
      <w:r w:rsidR="004D1A00" w:rsidRPr="004B4D19">
        <w:t xml:space="preserve">. </w:t>
      </w:r>
      <w:r>
        <w:t>Понякога</w:t>
      </w:r>
      <w:r w:rsidR="004D1A00" w:rsidRPr="004B4D19">
        <w:t xml:space="preserve"> това са лица с дефицити в самоконтрола, които нямат умения сами да си налагат норми на поведение. </w:t>
      </w:r>
      <w:r>
        <w:t>Те</w:t>
      </w:r>
      <w:r w:rsidRPr="004B4D19">
        <w:t xml:space="preserve"> </w:t>
      </w:r>
      <w:r w:rsidR="00130280">
        <w:t>създават впечатление на поправени в</w:t>
      </w:r>
      <w:r w:rsidRPr="004B4D19">
        <w:t xml:space="preserve"> затвора</w:t>
      </w:r>
      <w:r w:rsidR="00130280">
        <w:t>, но</w:t>
      </w:r>
      <w:r w:rsidRPr="004B4D19">
        <w:t xml:space="preserve"> </w:t>
      </w:r>
      <w:r w:rsidR="004D1A00" w:rsidRPr="004B4D19">
        <w:t>възобновяват престъпното поведение</w:t>
      </w:r>
      <w:r w:rsidR="00130280">
        <w:t xml:space="preserve"> на свобода</w:t>
      </w:r>
      <w:r w:rsidR="004D1A00" w:rsidRPr="004B4D19">
        <w:t>.</w:t>
      </w:r>
    </w:p>
    <w:p w:rsidR="00030618" w:rsidRDefault="00030618" w:rsidP="0087236C">
      <w:pPr>
        <w:ind w:firstLine="720"/>
        <w:jc w:val="both"/>
      </w:pPr>
      <w:r w:rsidRPr="004B4D19">
        <w:t>П</w:t>
      </w:r>
      <w:r w:rsidR="00130280">
        <w:t>оради това п</w:t>
      </w:r>
      <w:r w:rsidRPr="004B4D19">
        <w:t xml:space="preserve">ри преценка на опасността на молителя </w:t>
      </w:r>
      <w:r w:rsidR="00130280" w:rsidRPr="004B4D19">
        <w:t xml:space="preserve">важен </w:t>
      </w:r>
      <w:r w:rsidRPr="004B4D19">
        <w:t xml:space="preserve">допълнителен критерий е </w:t>
      </w:r>
      <w:r w:rsidRPr="004B4D19">
        <w:rPr>
          <w:b/>
        </w:rPr>
        <w:t>рискът от вреди</w:t>
      </w:r>
      <w:r w:rsidRPr="004B4D19">
        <w:t xml:space="preserve">, свързан с вероятността молителят да прояви агресия към различни групи хора. </w:t>
      </w:r>
      <w:r w:rsidR="00130280">
        <w:t>Този</w:t>
      </w:r>
      <w:r w:rsidR="000E3070" w:rsidRPr="004B4D19">
        <w:t xml:space="preserve"> показател има голямо корективно значение при високоадаптивни или дългосрочно наказани молители, при които приспособяване</w:t>
      </w:r>
      <w:r w:rsidR="00130280">
        <w:t>то</w:t>
      </w:r>
      <w:r w:rsidR="000E3070" w:rsidRPr="004B4D19">
        <w:t xml:space="preserve"> към за</w:t>
      </w:r>
      <w:r w:rsidR="0012375E">
        <w:t>т</w:t>
      </w:r>
      <w:r w:rsidR="000E3070" w:rsidRPr="004B4D19">
        <w:t>ворническата среда води до формално занижаване на стойностите на риска от рецидив.</w:t>
      </w:r>
      <w:r w:rsidR="00130280">
        <w:t xml:space="preserve"> През полугодието </w:t>
      </w:r>
      <w:r w:rsidR="002A566E">
        <w:t xml:space="preserve">той е измерен </w:t>
      </w:r>
      <w:r w:rsidR="0012375E">
        <w:t>за</w:t>
      </w:r>
      <w:r w:rsidR="002A566E">
        <w:t xml:space="preserve"> </w:t>
      </w:r>
      <w:r w:rsidR="0012375E">
        <w:t>19</w:t>
      </w:r>
      <w:r w:rsidR="002A566E">
        <w:t>0 молители. С</w:t>
      </w:r>
      <w:r w:rsidR="00130280">
        <w:t xml:space="preserve">амо при двама рискът от вреди по-скоро отсъства. Той е нисък при 15 осъдени, при </w:t>
      </w:r>
      <w:r w:rsidR="002A566E">
        <w:t>30</w:t>
      </w:r>
      <w:r w:rsidR="00130280">
        <w:t xml:space="preserve"> е </w:t>
      </w:r>
      <w:r w:rsidR="0012375E">
        <w:t>среден</w:t>
      </w:r>
      <w:r w:rsidR="002A566E">
        <w:t xml:space="preserve">, а при 36 – висок. При останалите осъдени той се намира в различни комбинации според това дали е насочен към </w:t>
      </w:r>
      <w:r w:rsidR="002A566E">
        <w:lastRenderedPageBreak/>
        <w:t>обществото, конкретни застрашени лица, застрашени социални групи, непосредственото обкръжение и др., както и според това дали</w:t>
      </w:r>
      <w:r w:rsidR="0012375E">
        <w:t xml:space="preserve"> е различен в затворническа среда и в условия на свобода.</w:t>
      </w:r>
    </w:p>
    <w:p w:rsidR="00130280" w:rsidRDefault="00130280" w:rsidP="0087236C">
      <w:pPr>
        <w:ind w:firstLine="720"/>
        <w:jc w:val="both"/>
      </w:pPr>
    </w:p>
    <w:p w:rsidR="00B95AFF" w:rsidRPr="004B4D19" w:rsidRDefault="00800404" w:rsidP="00B95AFF">
      <w:pPr>
        <w:pStyle w:val="ListParagraph"/>
        <w:ind w:left="0" w:firstLine="708"/>
        <w:jc w:val="both"/>
        <w:rPr>
          <w:b/>
        </w:rPr>
      </w:pPr>
      <w:r>
        <w:rPr>
          <w:noProof/>
        </w:rPr>
        <w:drawing>
          <wp:anchor distT="0" distB="0" distL="114300" distR="114300" simplePos="0" relativeHeight="251694080" behindDoc="1" locked="0" layoutInCell="1" allowOverlap="1">
            <wp:simplePos x="0" y="0"/>
            <wp:positionH relativeFrom="column">
              <wp:posOffset>19050</wp:posOffset>
            </wp:positionH>
            <wp:positionV relativeFrom="paragraph">
              <wp:posOffset>178435</wp:posOffset>
            </wp:positionV>
            <wp:extent cx="3314700" cy="2143125"/>
            <wp:effectExtent l="0" t="0" r="0" b="9525"/>
            <wp:wrapTight wrapText="bothSides">
              <wp:wrapPolygon edited="0">
                <wp:start x="0" y="0"/>
                <wp:lineTo x="0" y="21504"/>
                <wp:lineTo x="21476" y="21504"/>
                <wp:lineTo x="21476" y="0"/>
                <wp:lineTo x="0" y="0"/>
              </wp:wrapPolygon>
            </wp:wrapTight>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12375E">
        <w:rPr>
          <w:b/>
        </w:rPr>
        <w:t>1</w:t>
      </w:r>
      <w:r w:rsidR="00B95AFF" w:rsidRPr="004B4D19">
        <w:rPr>
          <w:b/>
        </w:rPr>
        <w:t>.2.</w:t>
      </w:r>
      <w:r w:rsidR="00AF7962" w:rsidRPr="004B4D19">
        <w:rPr>
          <w:b/>
        </w:rPr>
        <w:t>3</w:t>
      </w:r>
      <w:r w:rsidR="00B95AFF" w:rsidRPr="004B4D19">
        <w:rPr>
          <w:b/>
        </w:rPr>
        <w:t>. Местоизтърпяване</w:t>
      </w:r>
    </w:p>
    <w:p w:rsidR="00B95AFF" w:rsidRPr="004B4D19" w:rsidRDefault="00395710" w:rsidP="00B95AFF">
      <w:pPr>
        <w:pStyle w:val="ListParagraph"/>
        <w:ind w:left="0" w:firstLine="708"/>
        <w:jc w:val="both"/>
      </w:pPr>
      <w:r w:rsidRPr="004B4D19">
        <w:t xml:space="preserve">От </w:t>
      </w:r>
      <w:r w:rsidR="00800404">
        <w:t>???</w:t>
      </w:r>
      <w:r w:rsidR="00B95AFF" w:rsidRPr="004B4D19">
        <w:t xml:space="preserve"> осъдени молители </w:t>
      </w:r>
      <w:r w:rsidR="00800404">
        <w:t>13</w:t>
      </w:r>
      <w:r w:rsidRPr="004B4D19">
        <w:t xml:space="preserve"> </w:t>
      </w:r>
      <w:r w:rsidR="00B95AFF" w:rsidRPr="004B4D19">
        <w:t xml:space="preserve">не изтърпяват наказанието си в </w:t>
      </w:r>
      <w:r w:rsidRPr="004B4D19">
        <w:t>затвор</w:t>
      </w:r>
      <w:r w:rsidR="00B95AFF" w:rsidRPr="004B4D19">
        <w:t>, тъй като не са осъдени на ефективно лишаване от свобода</w:t>
      </w:r>
      <w:r w:rsidR="00B21961" w:rsidRPr="004B4D19">
        <w:t>,</w:t>
      </w:r>
      <w:r w:rsidR="00B95AFF" w:rsidRPr="004B4D19">
        <w:t xml:space="preserve"> укриват</w:t>
      </w:r>
      <w:r w:rsidR="00B21961" w:rsidRPr="004B4D19">
        <w:t xml:space="preserve"> се</w:t>
      </w:r>
      <w:r w:rsidR="0096296A" w:rsidRPr="004B4D19">
        <w:t xml:space="preserve"> или изпълнението на присъдата</w:t>
      </w:r>
      <w:r w:rsidR="00B21961" w:rsidRPr="004B4D19">
        <w:t xml:space="preserve"> е </w:t>
      </w:r>
      <w:r w:rsidR="0095405E" w:rsidRPr="004B4D19">
        <w:t>отложено</w:t>
      </w:r>
      <w:r w:rsidR="0096296A" w:rsidRPr="004B4D19">
        <w:t xml:space="preserve"> / прекъснато</w:t>
      </w:r>
      <w:r w:rsidR="0095405E" w:rsidRPr="004B4D19">
        <w:t xml:space="preserve"> от прокуратурата</w:t>
      </w:r>
      <w:r w:rsidR="00B95AFF" w:rsidRPr="004B4D19">
        <w:t>.</w:t>
      </w:r>
    </w:p>
    <w:p w:rsidR="00D3368B" w:rsidRPr="004B4D19" w:rsidRDefault="0096296A" w:rsidP="00157748">
      <w:pPr>
        <w:pStyle w:val="ListParagraph"/>
        <w:ind w:left="0" w:firstLine="708"/>
        <w:jc w:val="both"/>
      </w:pPr>
      <w:r w:rsidRPr="004B4D19">
        <w:t xml:space="preserve">Запазва се тенденцията </w:t>
      </w:r>
      <w:r w:rsidR="00B95AFF" w:rsidRPr="004B4D19">
        <w:t xml:space="preserve">най-много молби </w:t>
      </w:r>
      <w:r w:rsidRPr="004B4D19">
        <w:t>да постъпват от</w:t>
      </w:r>
      <w:r w:rsidR="00B95AFF" w:rsidRPr="004B4D19">
        <w:t xml:space="preserve"> </w:t>
      </w:r>
      <w:r w:rsidR="00B95AFF" w:rsidRPr="004B4D19">
        <w:rPr>
          <w:b/>
        </w:rPr>
        <w:t xml:space="preserve">затвора в </w:t>
      </w:r>
      <w:r w:rsidR="00F43A56" w:rsidRPr="004B4D19">
        <w:rPr>
          <w:b/>
        </w:rPr>
        <w:t>Белене</w:t>
      </w:r>
      <w:r w:rsidR="00B95AFF" w:rsidRPr="004B4D19">
        <w:t>,</w:t>
      </w:r>
      <w:r w:rsidR="005F059D" w:rsidRPr="004B4D19">
        <w:t xml:space="preserve"> следван</w:t>
      </w:r>
      <w:r w:rsidR="0095405E" w:rsidRPr="004B4D19">
        <w:t xml:space="preserve"> от затвор</w:t>
      </w:r>
      <w:r w:rsidR="00F43A56" w:rsidRPr="004B4D19">
        <w:t>а</w:t>
      </w:r>
      <w:r w:rsidR="0095405E" w:rsidRPr="004B4D19">
        <w:t xml:space="preserve"> в </w:t>
      </w:r>
      <w:r w:rsidR="00F43A56" w:rsidRPr="004B4D19">
        <w:t>София</w:t>
      </w:r>
      <w:r w:rsidR="00305696" w:rsidRPr="004B4D19">
        <w:t>.</w:t>
      </w:r>
      <w:r w:rsidR="004B1140" w:rsidRPr="004B4D19">
        <w:t xml:space="preserve"> </w:t>
      </w:r>
      <w:r w:rsidR="00B95AFF" w:rsidRPr="004B4D19">
        <w:t>Продължават да са необичайно малко разгледаните молби от големите затвори във Варна и Бургас</w:t>
      </w:r>
      <w:r w:rsidR="00305696" w:rsidRPr="004B4D19">
        <w:t>.</w:t>
      </w:r>
      <w:r w:rsidRPr="004B4D19">
        <w:t xml:space="preserve"> По-високият ръст на молителите от Ловеч се дължи на обстоятелството, че мнозина, които се позовават на медицински оплаквания, изтърпяват наказанието си в болнични</w:t>
      </w:r>
      <w:r w:rsidR="00800404">
        <w:t>те</w:t>
      </w:r>
      <w:r w:rsidRPr="004B4D19">
        <w:t xml:space="preserve"> заведения</w:t>
      </w:r>
      <w:r w:rsidR="00800404">
        <w:t xml:space="preserve"> към него</w:t>
      </w:r>
      <w:r w:rsidRPr="004B4D19">
        <w:t>.</w:t>
      </w:r>
    </w:p>
    <w:p w:rsidR="00157748" w:rsidRPr="004B4D19" w:rsidRDefault="00157748" w:rsidP="00157748">
      <w:pPr>
        <w:pStyle w:val="ListParagraph"/>
        <w:ind w:left="0" w:firstLine="708"/>
        <w:jc w:val="both"/>
        <w:rPr>
          <w:b/>
          <w:sz w:val="10"/>
          <w:szCs w:val="10"/>
        </w:rPr>
      </w:pPr>
    </w:p>
    <w:p w:rsidR="005F059D" w:rsidRPr="004B4D19" w:rsidRDefault="00593F7F" w:rsidP="00726CF7">
      <w:pPr>
        <w:ind w:firstLine="720"/>
        <w:jc w:val="both"/>
        <w:rPr>
          <w:b/>
        </w:rPr>
      </w:pPr>
      <w:r>
        <w:rPr>
          <w:b/>
        </w:rPr>
        <w:t>1</w:t>
      </w:r>
      <w:r w:rsidR="00726CF7" w:rsidRPr="004B4D19">
        <w:rPr>
          <w:b/>
        </w:rPr>
        <w:t>.2.4. Изтърпявани наказания</w:t>
      </w:r>
    </w:p>
    <w:p w:rsidR="00157748" w:rsidRPr="004B4D19" w:rsidRDefault="007A65BD" w:rsidP="00DE3C9C">
      <w:pPr>
        <w:ind w:firstLine="720"/>
        <w:jc w:val="both"/>
      </w:pPr>
      <w:r>
        <w:rPr>
          <w:noProof/>
        </w:rPr>
        <w:drawing>
          <wp:anchor distT="0" distB="0" distL="114300" distR="114300" simplePos="0" relativeHeight="251697152" behindDoc="1" locked="0" layoutInCell="1" allowOverlap="1">
            <wp:simplePos x="0" y="0"/>
            <wp:positionH relativeFrom="column">
              <wp:posOffset>19050</wp:posOffset>
            </wp:positionH>
            <wp:positionV relativeFrom="paragraph">
              <wp:posOffset>201295</wp:posOffset>
            </wp:positionV>
            <wp:extent cx="4014788" cy="1600200"/>
            <wp:effectExtent l="0" t="0" r="5080" b="0"/>
            <wp:wrapTight wrapText="bothSides">
              <wp:wrapPolygon edited="0">
                <wp:start x="0" y="0"/>
                <wp:lineTo x="0" y="21343"/>
                <wp:lineTo x="21525" y="21343"/>
                <wp:lineTo x="21525" y="0"/>
                <wp:lineTo x="0" y="0"/>
              </wp:wrapPolygon>
            </wp:wrapTight>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t>Наложените наказания, изтърпявани от молителите, чиито молби са решени през полугодието, са 626.</w:t>
      </w:r>
      <w:r w:rsidR="00DE3C9C">
        <w:t xml:space="preserve"> Преобладават наказанията, предполагащи изолация в затвор. </w:t>
      </w:r>
      <w:r w:rsidR="00157748" w:rsidRPr="004B4D19">
        <w:t>На мнозина са наложени за последовате</w:t>
      </w:r>
      <w:r w:rsidR="00DE3C9C">
        <w:t>л</w:t>
      </w:r>
      <w:r w:rsidR="00157748" w:rsidRPr="004B4D19">
        <w:t>но изтърпяване повече от едно нак</w:t>
      </w:r>
      <w:r w:rsidR="00DE3C9C">
        <w:t>а</w:t>
      </w:r>
      <w:r w:rsidR="00157748" w:rsidRPr="004B4D19">
        <w:t>зание лишаване от свобода до 10 години.</w:t>
      </w:r>
    </w:p>
    <w:p w:rsidR="00726CF7" w:rsidRPr="004B4D19" w:rsidRDefault="00DE3C9C" w:rsidP="00726CF7">
      <w:pPr>
        <w:ind w:firstLine="720"/>
        <w:jc w:val="both"/>
      </w:pPr>
      <w:r>
        <w:t xml:space="preserve">Наблюдава се активизиране в групата на </w:t>
      </w:r>
      <w:r w:rsidR="00BD4DC3" w:rsidRPr="004B4D19">
        <w:t>осъдени</w:t>
      </w:r>
      <w:r w:rsidR="00726CF7" w:rsidRPr="004B4D19">
        <w:t xml:space="preserve"> на </w:t>
      </w:r>
      <w:r w:rsidR="00726CF7" w:rsidRPr="004B4D19">
        <w:rPr>
          <w:b/>
        </w:rPr>
        <w:t>най-тежките наказания</w:t>
      </w:r>
      <w:r w:rsidR="004B6E04" w:rsidRPr="004B4D19">
        <w:t xml:space="preserve"> – общо </w:t>
      </w:r>
      <w:r>
        <w:t>53</w:t>
      </w:r>
      <w:r w:rsidR="001D2FA5" w:rsidRPr="00DE3C9C">
        <w:t>.</w:t>
      </w:r>
      <w:r w:rsidR="00726CF7" w:rsidRPr="004B4D19">
        <w:t xml:space="preserve"> </w:t>
      </w:r>
      <w:r w:rsidR="00A07690" w:rsidRPr="004B4D19">
        <w:t xml:space="preserve">Запазва се </w:t>
      </w:r>
      <w:r>
        <w:t xml:space="preserve">високата </w:t>
      </w:r>
      <w:r w:rsidR="00A07690" w:rsidRPr="004B4D19">
        <w:t xml:space="preserve">активност </w:t>
      </w:r>
      <w:r>
        <w:t>на</w:t>
      </w:r>
      <w:r w:rsidR="00A07690" w:rsidRPr="004B4D19">
        <w:t xml:space="preserve"> осъдени на повече от 20 години лишаване от свобода, която има профила на </w:t>
      </w:r>
      <w:r>
        <w:t>доживотно осъдените</w:t>
      </w:r>
      <w:r w:rsidR="00A07690" w:rsidRPr="004B4D19">
        <w:t>, но безсрочното наказание е избягнато поради приложение на привилегированата процедура по съкратено съдебно следствие, която изключва налагането на доживотен затвор и доживотен затвор без замяна. Тази група включва осъдени след 2010 г., много от които се намират все още в началните етапи на наказанието и изпитват трудности да приемат неговата продължителност.</w:t>
      </w:r>
    </w:p>
    <w:p w:rsidR="005B6870" w:rsidRPr="004B4D19" w:rsidRDefault="004B6E04" w:rsidP="004B6E04">
      <w:pPr>
        <w:shd w:val="clear" w:color="auto" w:fill="FFFFFF" w:themeFill="background1"/>
        <w:ind w:firstLine="708"/>
        <w:jc w:val="both"/>
      </w:pPr>
      <w:r w:rsidRPr="004B4D19">
        <w:t xml:space="preserve">Допълнителното наказание </w:t>
      </w:r>
      <w:r w:rsidRPr="004B4D19">
        <w:rPr>
          <w:b/>
        </w:rPr>
        <w:t>лишаване от права</w:t>
      </w:r>
      <w:r w:rsidR="00726CF7" w:rsidRPr="004B4D19">
        <w:t xml:space="preserve"> </w:t>
      </w:r>
      <w:r w:rsidR="00DE3C9C">
        <w:t>е наложено на 13 осъдени</w:t>
      </w:r>
      <w:r w:rsidRPr="004B4D19">
        <w:t xml:space="preserve">, като </w:t>
      </w:r>
      <w:r w:rsidR="00A07690" w:rsidRPr="004B4D19">
        <w:t xml:space="preserve">само е един </w:t>
      </w:r>
      <w:r w:rsidRPr="004B4D19">
        <w:t>случа</w:t>
      </w:r>
      <w:r w:rsidR="00A07690" w:rsidRPr="004B4D19">
        <w:t>й</w:t>
      </w:r>
      <w:r w:rsidRPr="004B4D19">
        <w:t xml:space="preserve"> молбата за помилване се отнася до него.</w:t>
      </w:r>
      <w:r w:rsidR="00DE3C9C">
        <w:t xml:space="preserve"> Пробация изтърпяват 41 осъдени, но само в един случай молбата се отнася до това наказание.</w:t>
      </w:r>
    </w:p>
    <w:p w:rsidR="004B1140" w:rsidRPr="004B4D19" w:rsidRDefault="004B1140" w:rsidP="00726CF7">
      <w:pPr>
        <w:shd w:val="clear" w:color="auto" w:fill="FFFFFF" w:themeFill="background1"/>
        <w:ind w:firstLine="720"/>
        <w:jc w:val="both"/>
      </w:pPr>
    </w:p>
    <w:p w:rsidR="000E3070" w:rsidRPr="004B4D19" w:rsidRDefault="00F21611" w:rsidP="000E3070">
      <w:pPr>
        <w:pStyle w:val="ListParagraph"/>
        <w:ind w:left="0" w:firstLine="708"/>
        <w:jc w:val="both"/>
        <w:rPr>
          <w:b/>
        </w:rPr>
      </w:pPr>
      <w:r w:rsidRPr="004B4D19">
        <w:rPr>
          <w:b/>
        </w:rPr>
        <w:t xml:space="preserve">2.2.5. Мотиви на осъдените молители </w:t>
      </w:r>
    </w:p>
    <w:p w:rsidR="00DE3C9C" w:rsidRDefault="00CE31FA" w:rsidP="000E3070">
      <w:pPr>
        <w:pStyle w:val="ListParagraph"/>
        <w:ind w:left="0" w:firstLine="708"/>
        <w:jc w:val="both"/>
      </w:pPr>
      <w:r w:rsidRPr="004B4D19">
        <w:t>П</w:t>
      </w:r>
      <w:r w:rsidR="00A41765" w:rsidRPr="004B4D19">
        <w:t xml:space="preserve">рез </w:t>
      </w:r>
      <w:r w:rsidRPr="004B4D19">
        <w:t>първото</w:t>
      </w:r>
      <w:r w:rsidR="00A41765" w:rsidRPr="004B4D19">
        <w:t xml:space="preserve"> </w:t>
      </w:r>
      <w:r w:rsidR="00DE3C9C">
        <w:t>полугодие</w:t>
      </w:r>
      <w:r w:rsidR="00A41765" w:rsidRPr="004B4D19">
        <w:t xml:space="preserve"> на 201</w:t>
      </w:r>
      <w:r w:rsidRPr="004B4D19">
        <w:t>7</w:t>
      </w:r>
      <w:r w:rsidR="00A41765" w:rsidRPr="004B4D19">
        <w:t xml:space="preserve"> г. </w:t>
      </w:r>
      <w:r w:rsidR="00DE3C9C">
        <w:t xml:space="preserve">относително нараства делът на молителите, които не се позовават на конкретни мотиви за помилване. Молбите </w:t>
      </w:r>
      <w:r w:rsidR="00DD48DA">
        <w:t xml:space="preserve">им </w:t>
      </w:r>
      <w:r w:rsidR="00DE3C9C">
        <w:t>са лаконични и съдържат единствено минимални данни за наказанието и волята на осъдения то да му бъде опростено. Във всички от тези случаи молителят е трайно криминализирана личност с тежки образователни и характерологични дефицити. При всичките е установено, че молителят не осъзнава какво е извършил и не се поправя.</w:t>
      </w:r>
    </w:p>
    <w:p w:rsidR="00395710" w:rsidRPr="004B4D19" w:rsidRDefault="00DD48DA" w:rsidP="000E3070">
      <w:pPr>
        <w:pStyle w:val="ListParagraph"/>
        <w:ind w:left="0" w:firstLine="708"/>
        <w:jc w:val="both"/>
        <w:rPr>
          <w:sz w:val="20"/>
          <w:szCs w:val="20"/>
        </w:rPr>
      </w:pPr>
      <w:r>
        <w:lastRenderedPageBreak/>
        <w:t>Относително нарастват молителите, които изтъкват в своя полза обстоятелства, относими към предпоставките за</w:t>
      </w:r>
      <w:r w:rsidR="00F56E50" w:rsidRPr="004B4D19">
        <w:rPr>
          <w:b/>
        </w:rPr>
        <w:t xml:space="preserve"> условно предсрочно освобождаване</w:t>
      </w:r>
      <w:r w:rsidR="00F56E50" w:rsidRPr="004B4D19">
        <w:t xml:space="preserve"> (УПО)</w:t>
      </w:r>
      <w:r w:rsidR="00A41765" w:rsidRPr="004B4D19">
        <w:rPr>
          <w:rStyle w:val="FootnoteReference"/>
        </w:rPr>
        <w:footnoteReference w:id="6"/>
      </w:r>
      <w:r>
        <w:t>, но недостатъчни за ползване на този институт</w:t>
      </w:r>
      <w:r w:rsidR="00A41765" w:rsidRPr="004B4D19">
        <w:t>.</w:t>
      </w:r>
      <w:r w:rsidR="00F56E50" w:rsidRPr="004B4D19">
        <w:t xml:space="preserve"> </w:t>
      </w:r>
      <w:r w:rsidR="00157748" w:rsidRPr="004B4D19">
        <w:t>Т</w:t>
      </w:r>
      <w:r>
        <w:t>акива мотиви са посочени</w:t>
      </w:r>
      <w:r w:rsidR="004B6E04" w:rsidRPr="004B4D19">
        <w:t xml:space="preserve"> </w:t>
      </w:r>
      <w:r>
        <w:t>наред с други</w:t>
      </w:r>
      <w:r w:rsidR="004B6E04" w:rsidRPr="004B4D19">
        <w:t xml:space="preserve">. </w:t>
      </w:r>
    </w:p>
    <w:p w:rsidR="000E3070" w:rsidRPr="004B4D19" w:rsidRDefault="00DD48DA" w:rsidP="00292FB9">
      <w:pPr>
        <w:pStyle w:val="ListParagraph"/>
        <w:ind w:left="0" w:firstLine="708"/>
        <w:jc w:val="both"/>
      </w:pPr>
      <w:r>
        <w:rPr>
          <w:noProof/>
        </w:rPr>
        <w:drawing>
          <wp:anchor distT="0" distB="0" distL="114300" distR="114300" simplePos="0" relativeHeight="251698176" behindDoc="1" locked="0" layoutInCell="1" allowOverlap="1">
            <wp:simplePos x="0" y="0"/>
            <wp:positionH relativeFrom="column">
              <wp:posOffset>-200026</wp:posOffset>
            </wp:positionH>
            <wp:positionV relativeFrom="paragraph">
              <wp:posOffset>873760</wp:posOffset>
            </wp:positionV>
            <wp:extent cx="7419975" cy="2743200"/>
            <wp:effectExtent l="0" t="0" r="9525" b="0"/>
            <wp:wrapTight wrapText="bothSides">
              <wp:wrapPolygon edited="0">
                <wp:start x="0" y="0"/>
                <wp:lineTo x="0" y="21450"/>
                <wp:lineTo x="21572" y="21450"/>
                <wp:lineTo x="21572" y="0"/>
                <wp:lineTo x="0" y="0"/>
              </wp:wrapPolygon>
            </wp:wrapTight>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Pr>
          <w:noProof/>
        </w:rPr>
        <w:t>Продължава нарастването</w:t>
      </w:r>
      <w:r w:rsidR="000E3070" w:rsidRPr="004B4D19">
        <w:t xml:space="preserve"> </w:t>
      </w:r>
      <w:r>
        <w:t>на</w:t>
      </w:r>
      <w:r w:rsidR="000E3070" w:rsidRPr="004B4D19">
        <w:t xml:space="preserve"> групата на ,,</w:t>
      </w:r>
      <w:r w:rsidR="000E3070" w:rsidRPr="004B4D19">
        <w:rPr>
          <w:b/>
        </w:rPr>
        <w:t>другите</w:t>
      </w:r>
      <w:r>
        <w:t>“ мотиви</w:t>
      </w:r>
      <w:r w:rsidR="000E3070" w:rsidRPr="004B4D19">
        <w:t>. Т</w:t>
      </w:r>
      <w:r w:rsidR="00157748" w:rsidRPr="004B4D19">
        <w:t>я</w:t>
      </w:r>
      <w:r w:rsidR="000E3070" w:rsidRPr="004B4D19">
        <w:t xml:space="preserve"> е най-типич</w:t>
      </w:r>
      <w:r>
        <w:t>н</w:t>
      </w:r>
      <w:r w:rsidR="000E3070" w:rsidRPr="004B4D19">
        <w:t>а за помилването, тъй като включва неподдаващи се на групиране индивидуални мотиви, изтъкващи необичайност</w:t>
      </w:r>
      <w:r w:rsidR="00157748" w:rsidRPr="004B4D19">
        <w:t>та</w:t>
      </w:r>
      <w:r w:rsidR="000E3070" w:rsidRPr="004B4D19">
        <w:t xml:space="preserve"> на случая. Нарастването ѝ очертава все по-голяма ад</w:t>
      </w:r>
      <w:r>
        <w:t>е</w:t>
      </w:r>
      <w:r w:rsidR="000E3070" w:rsidRPr="004B4D19">
        <w:t xml:space="preserve">кватност на молителите към приложното поле на помилването и все по-ясно отграничаване от близки до него институти, каквито са </w:t>
      </w:r>
      <w:r>
        <w:t>УПО</w:t>
      </w:r>
      <w:r w:rsidR="000E3070" w:rsidRPr="004B4D19">
        <w:t xml:space="preserve"> и ин</w:t>
      </w:r>
      <w:r>
        <w:t>с</w:t>
      </w:r>
      <w:r w:rsidR="000E3070" w:rsidRPr="004B4D19">
        <w:t>трументите на прогресивната система за изтърпяване на наказанието.</w:t>
      </w:r>
      <w:r w:rsidRPr="00DD48DA">
        <w:rPr>
          <w:noProof/>
        </w:rPr>
        <w:t xml:space="preserve"> </w:t>
      </w:r>
    </w:p>
    <w:p w:rsidR="00F21611" w:rsidRPr="004B4D19" w:rsidRDefault="00157748" w:rsidP="00F21611">
      <w:pPr>
        <w:pStyle w:val="ListParagraph"/>
        <w:ind w:left="0" w:firstLine="708"/>
        <w:jc w:val="both"/>
      </w:pPr>
      <w:r w:rsidRPr="004B4D19">
        <w:rPr>
          <w:noProof/>
        </w:rPr>
        <w:t>При</w:t>
      </w:r>
      <w:r w:rsidR="00F21611" w:rsidRPr="004B4D19">
        <w:t xml:space="preserve"> останалите </w:t>
      </w:r>
      <w:r w:rsidR="00AB709C" w:rsidRPr="004B4D19">
        <w:t>групи мотиви</w:t>
      </w:r>
      <w:r w:rsidR="00F21611" w:rsidRPr="004B4D19">
        <w:t xml:space="preserve"> </w:t>
      </w:r>
      <w:r w:rsidRPr="004B4D19">
        <w:t>картината е</w:t>
      </w:r>
      <w:r w:rsidR="003037ED" w:rsidRPr="004B4D19">
        <w:t xml:space="preserve"> </w:t>
      </w:r>
      <w:r w:rsidR="000478DE" w:rsidRPr="004B4D19">
        <w:t>типична.</w:t>
      </w:r>
      <w:r w:rsidR="003037ED" w:rsidRPr="004B4D19">
        <w:t xml:space="preserve"> </w:t>
      </w:r>
      <w:r w:rsidR="00F21611" w:rsidRPr="004B4D19">
        <w:t xml:space="preserve">Отново преобладават твърдения за настъпили </w:t>
      </w:r>
      <w:r w:rsidR="00F21611" w:rsidRPr="004B4D19">
        <w:rPr>
          <w:b/>
        </w:rPr>
        <w:t>хуманитарни обстоятелства</w:t>
      </w:r>
      <w:r w:rsidRPr="004B4D19">
        <w:rPr>
          <w:b/>
        </w:rPr>
        <w:t xml:space="preserve"> </w:t>
      </w:r>
      <w:r w:rsidRPr="004B4D19">
        <w:t>(</w:t>
      </w:r>
      <w:r w:rsidR="000478DE" w:rsidRPr="004B4D19">
        <w:t xml:space="preserve">постоянно </w:t>
      </w:r>
      <w:r w:rsidR="003037ED" w:rsidRPr="004B4D19">
        <w:t>около</w:t>
      </w:r>
      <w:r w:rsidR="00F56E50" w:rsidRPr="004B4D19">
        <w:t xml:space="preserve"> </w:t>
      </w:r>
      <w:r w:rsidR="003037ED" w:rsidRPr="004B4D19">
        <w:t>70</w:t>
      </w:r>
      <w:r w:rsidR="00F56E50" w:rsidRPr="004B4D19">
        <w:t>%</w:t>
      </w:r>
      <w:r w:rsidRPr="004B4D19">
        <w:t>)</w:t>
      </w:r>
      <w:r w:rsidR="00F21611" w:rsidRPr="004B4D19">
        <w:t xml:space="preserve">. </w:t>
      </w:r>
      <w:r w:rsidR="000478DE" w:rsidRPr="004B4D19">
        <w:t>Устойчив е и</w:t>
      </w:r>
      <w:r w:rsidR="003037ED" w:rsidRPr="004B4D19">
        <w:t xml:space="preserve"> дел</w:t>
      </w:r>
      <w:r w:rsidR="000478DE" w:rsidRPr="004B4D19">
        <w:t>ът</w:t>
      </w:r>
      <w:r w:rsidRPr="004B4D19">
        <w:t xml:space="preserve"> на </w:t>
      </w:r>
      <w:r w:rsidR="00F21611" w:rsidRPr="004B4D19">
        <w:t>твърдения</w:t>
      </w:r>
      <w:r w:rsidRPr="004B4D19">
        <w:t>та</w:t>
      </w:r>
      <w:r w:rsidR="00F21611" w:rsidRPr="004B4D19">
        <w:t xml:space="preserve"> за несправедливо осъждане.</w:t>
      </w:r>
    </w:p>
    <w:p w:rsidR="00406A94" w:rsidRPr="004B4D19" w:rsidRDefault="00726CF7" w:rsidP="00406A94">
      <w:pPr>
        <w:pStyle w:val="ListParagraph"/>
        <w:ind w:left="0" w:firstLine="708"/>
        <w:jc w:val="both"/>
      </w:pPr>
      <w:r w:rsidRPr="004B4D19">
        <w:t>В</w:t>
      </w:r>
      <w:r w:rsidR="00157748" w:rsidRPr="004B4D19">
        <w:t>одещи</w:t>
      </w:r>
      <w:r w:rsidRPr="004B4D19">
        <w:t xml:space="preserve"> сред </w:t>
      </w:r>
      <w:r w:rsidR="004F3691" w:rsidRPr="004B4D19">
        <w:t>хуманитар</w:t>
      </w:r>
      <w:r w:rsidR="00C02C11" w:rsidRPr="004B4D19">
        <w:t xml:space="preserve">ните мотиви </w:t>
      </w:r>
      <w:r w:rsidR="00157748" w:rsidRPr="004B4D19">
        <w:t>са</w:t>
      </w:r>
      <w:r w:rsidRPr="004B4D19">
        <w:t xml:space="preserve"> твърденията за </w:t>
      </w:r>
      <w:r w:rsidRPr="004B4D19">
        <w:rPr>
          <w:b/>
        </w:rPr>
        <w:t>тежко здравословно състояние</w:t>
      </w:r>
      <w:r w:rsidR="00A41765" w:rsidRPr="004B4D19">
        <w:rPr>
          <w:b/>
        </w:rPr>
        <w:t>,</w:t>
      </w:r>
      <w:r w:rsidRPr="004B4D19">
        <w:t xml:space="preserve"> което по оценка на молителя е несъвместимо с ефективно изтърпяване на наказанието.</w:t>
      </w:r>
      <w:r w:rsidR="00406A94" w:rsidRPr="004B4D19">
        <w:t xml:space="preserve"> От всичките </w:t>
      </w:r>
      <w:r w:rsidR="00927EBD">
        <w:t>19</w:t>
      </w:r>
      <w:r w:rsidR="000478DE" w:rsidRPr="004B4D19">
        <w:t>3</w:t>
      </w:r>
      <w:r w:rsidR="00406A94" w:rsidRPr="004B4D19">
        <w:t xml:space="preserve"> молители, позовали </w:t>
      </w:r>
      <w:r w:rsidR="00DC33EE" w:rsidRPr="004B4D19">
        <w:t xml:space="preserve">се </w:t>
      </w:r>
      <w:r w:rsidR="00406A94" w:rsidRPr="004B4D19">
        <w:t xml:space="preserve">на този аргумент, </w:t>
      </w:r>
      <w:r w:rsidR="00927EBD">
        <w:t>159</w:t>
      </w:r>
      <w:r w:rsidR="00406A94" w:rsidRPr="004B4D19">
        <w:t xml:space="preserve"> са клинично здрави</w:t>
      </w:r>
      <w:r w:rsidR="000478DE" w:rsidRPr="004B4D19">
        <w:t xml:space="preserve">, а </w:t>
      </w:r>
      <w:r w:rsidR="00927EBD">
        <w:t>останалите 34</w:t>
      </w:r>
      <w:r w:rsidR="000478DE" w:rsidRPr="004B4D19">
        <w:t xml:space="preserve"> страдат от хронично заболяване</w:t>
      </w:r>
      <w:r w:rsidR="000728A4" w:rsidRPr="004B4D19">
        <w:t xml:space="preserve">, което при </w:t>
      </w:r>
      <w:r w:rsidR="00927EBD">
        <w:t>5</w:t>
      </w:r>
      <w:r w:rsidR="000728A4" w:rsidRPr="004B4D19">
        <w:t xml:space="preserve"> е инвалидизиращо</w:t>
      </w:r>
      <w:r w:rsidR="00927EBD">
        <w:t>, но само при двама се е развило до степен да създаде инвалидност</w:t>
      </w:r>
      <w:r w:rsidR="00406A94" w:rsidRPr="004B4D19">
        <w:t xml:space="preserve">. </w:t>
      </w:r>
    </w:p>
    <w:p w:rsidR="00726CF7" w:rsidRDefault="000728A4" w:rsidP="00726CF7">
      <w:pPr>
        <w:ind w:firstLine="708"/>
        <w:jc w:val="both"/>
      </w:pPr>
      <w:r w:rsidRPr="004B4D19">
        <w:t>Д</w:t>
      </w:r>
      <w:r w:rsidR="00726CF7" w:rsidRPr="004B4D19">
        <w:t xml:space="preserve">ругата голяма група хуманитарни обстоятелства </w:t>
      </w:r>
      <w:r w:rsidR="00A41765" w:rsidRPr="004B4D19">
        <w:t>-</w:t>
      </w:r>
      <w:r w:rsidR="00726CF7" w:rsidRPr="004B4D19">
        <w:t xml:space="preserve"> </w:t>
      </w:r>
      <w:r w:rsidR="00726CF7" w:rsidRPr="004B4D19">
        <w:rPr>
          <w:b/>
        </w:rPr>
        <w:t>семейни</w:t>
      </w:r>
      <w:r w:rsidR="00A41765" w:rsidRPr="004B4D19">
        <w:rPr>
          <w:b/>
        </w:rPr>
        <w:t>те</w:t>
      </w:r>
      <w:r w:rsidR="00726CF7" w:rsidRPr="004B4D19">
        <w:rPr>
          <w:b/>
        </w:rPr>
        <w:t xml:space="preserve"> </w:t>
      </w:r>
      <w:r w:rsidRPr="004B4D19">
        <w:rPr>
          <w:b/>
        </w:rPr>
        <w:t xml:space="preserve">– </w:t>
      </w:r>
      <w:r w:rsidRPr="004B4D19">
        <w:t xml:space="preserve">най-често касаят твърдения на молителя, че негови деца или майка му имат нужда от неговите грижи. </w:t>
      </w:r>
      <w:r w:rsidR="00DC33EE" w:rsidRPr="004B4D19">
        <w:t>Най-често</w:t>
      </w:r>
      <w:r w:rsidR="00726CF7" w:rsidRPr="004B4D19">
        <w:t xml:space="preserve"> молителят не е полагал никакви или не е полагал адекватни грижи за близките си и няма ресурса и нагласата да се грижи за </w:t>
      </w:r>
      <w:r w:rsidR="00AB709C" w:rsidRPr="004B4D19">
        <w:t>тях</w:t>
      </w:r>
      <w:r w:rsidR="00726CF7" w:rsidRPr="004B4D19">
        <w:t>.</w:t>
      </w:r>
      <w:r w:rsidRPr="004B4D19">
        <w:t xml:space="preserve"> </w:t>
      </w:r>
      <w:r w:rsidR="00267F39" w:rsidRPr="004B4D19">
        <w:t>Масово молителите от тази група не</w:t>
      </w:r>
      <w:r w:rsidRPr="004B4D19">
        <w:t xml:space="preserve"> </w:t>
      </w:r>
      <w:r w:rsidR="00267F39" w:rsidRPr="004B4D19">
        <w:t xml:space="preserve">представят нито доказателства, нито достатъчно конкретно описание на реалните потребности на третите лица, за които желаят да се грижат. </w:t>
      </w:r>
    </w:p>
    <w:p w:rsidR="00927EBD" w:rsidRDefault="00927EBD" w:rsidP="00726CF7">
      <w:pPr>
        <w:ind w:firstLine="708"/>
        <w:jc w:val="both"/>
      </w:pPr>
    </w:p>
    <w:p w:rsidR="00927EBD" w:rsidRDefault="00927EBD" w:rsidP="00726CF7">
      <w:pPr>
        <w:ind w:firstLine="708"/>
        <w:jc w:val="both"/>
      </w:pPr>
    </w:p>
    <w:p w:rsidR="00927EBD" w:rsidRDefault="00927EBD" w:rsidP="00726CF7">
      <w:pPr>
        <w:ind w:firstLine="708"/>
        <w:jc w:val="both"/>
      </w:pPr>
    </w:p>
    <w:p w:rsidR="00927EBD" w:rsidRPr="004B4D19" w:rsidRDefault="00927EBD" w:rsidP="00726CF7">
      <w:pPr>
        <w:ind w:firstLine="708"/>
        <w:jc w:val="both"/>
      </w:pPr>
    </w:p>
    <w:p w:rsidR="00726CF7" w:rsidRPr="004B4D19" w:rsidRDefault="00726CF7" w:rsidP="00726CF7">
      <w:pPr>
        <w:pStyle w:val="ListParagraph"/>
        <w:ind w:left="0" w:firstLine="708"/>
        <w:jc w:val="both"/>
      </w:pPr>
    </w:p>
    <w:p w:rsidR="00B17B41" w:rsidRPr="004B4D19" w:rsidRDefault="008B2CAA" w:rsidP="003301BC">
      <w:pPr>
        <w:ind w:firstLine="708"/>
        <w:jc w:val="center"/>
        <w:rPr>
          <w:b/>
          <w:sz w:val="28"/>
          <w:szCs w:val="28"/>
        </w:rPr>
      </w:pPr>
      <w:r>
        <w:rPr>
          <w:b/>
          <w:sz w:val="28"/>
          <w:szCs w:val="28"/>
        </w:rPr>
        <w:lastRenderedPageBreak/>
        <w:t>2</w:t>
      </w:r>
      <w:r w:rsidR="00B17B41" w:rsidRPr="004B4D19">
        <w:rPr>
          <w:b/>
          <w:sz w:val="28"/>
          <w:szCs w:val="28"/>
        </w:rPr>
        <w:t>. ПРАКТИКА НА КОМИСИЯТА</w:t>
      </w:r>
    </w:p>
    <w:p w:rsidR="00B17B41" w:rsidRPr="004B4D19" w:rsidRDefault="00B17B41" w:rsidP="00B17B41">
      <w:pPr>
        <w:ind w:firstLine="708"/>
        <w:jc w:val="both"/>
        <w:rPr>
          <w:sz w:val="10"/>
          <w:szCs w:val="10"/>
        </w:rPr>
      </w:pPr>
    </w:p>
    <w:p w:rsidR="00B17B41" w:rsidRPr="004B4D19" w:rsidRDefault="00B17B41" w:rsidP="00A164E4">
      <w:pPr>
        <w:ind w:firstLine="708"/>
        <w:jc w:val="both"/>
      </w:pPr>
    </w:p>
    <w:p w:rsidR="001F67EB" w:rsidRPr="004B4D19" w:rsidRDefault="00AF7962" w:rsidP="00705C66">
      <w:pPr>
        <w:ind w:firstLine="67"/>
        <w:jc w:val="center"/>
        <w:rPr>
          <w:b/>
        </w:rPr>
      </w:pPr>
      <w:r w:rsidRPr="004B4D19">
        <w:rPr>
          <w:b/>
        </w:rPr>
        <w:t>3</w:t>
      </w:r>
      <w:r w:rsidR="001F67EB" w:rsidRPr="004B4D19">
        <w:rPr>
          <w:b/>
        </w:rPr>
        <w:t>.1</w:t>
      </w:r>
      <w:r w:rsidR="007B19B8" w:rsidRPr="004B4D19">
        <w:rPr>
          <w:b/>
        </w:rPr>
        <w:t>.</w:t>
      </w:r>
      <w:r w:rsidR="001F67EB" w:rsidRPr="004B4D19">
        <w:rPr>
          <w:b/>
        </w:rPr>
        <w:t xml:space="preserve"> ПРЕДЛОЖЕНИЯ ЗА ПРЕКРАТЯВАНЕ НА РАЗГЛЕЖДАНЕТО</w:t>
      </w:r>
    </w:p>
    <w:p w:rsidR="00A71F9B" w:rsidRPr="004B4D19" w:rsidRDefault="00A71F9B" w:rsidP="003A1FA3">
      <w:pPr>
        <w:ind w:left="359" w:firstLine="709"/>
        <w:jc w:val="both"/>
        <w:rPr>
          <w:b/>
          <w:sz w:val="10"/>
          <w:szCs w:val="10"/>
        </w:rPr>
      </w:pPr>
    </w:p>
    <w:p w:rsidR="001229C6" w:rsidRPr="004B4D19" w:rsidRDefault="00FD685C" w:rsidP="001F67EB">
      <w:pPr>
        <w:ind w:firstLine="709"/>
        <w:jc w:val="both"/>
      </w:pPr>
      <w:r w:rsidRPr="004B4D19">
        <w:t xml:space="preserve">През </w:t>
      </w:r>
      <w:r w:rsidR="00DC33EE" w:rsidRPr="004B4D19">
        <w:t>отчетния период</w:t>
      </w:r>
      <w:r w:rsidRPr="004B4D19">
        <w:t xml:space="preserve"> </w:t>
      </w:r>
      <w:r w:rsidR="001F67EB" w:rsidRPr="004B4D19">
        <w:t xml:space="preserve">Комисията се е произнесла с </w:t>
      </w:r>
      <w:r w:rsidR="001F67EB" w:rsidRPr="004B4D19">
        <w:rPr>
          <w:b/>
        </w:rPr>
        <w:t>предложение за прекратяване</w:t>
      </w:r>
      <w:r w:rsidR="001F67EB" w:rsidRPr="004B4D19">
        <w:t xml:space="preserve"> на разглеждането на </w:t>
      </w:r>
      <w:r w:rsidR="00C75948" w:rsidRPr="004B4D19">
        <w:t>1</w:t>
      </w:r>
      <w:r w:rsidR="001D1300" w:rsidRPr="004B4D19">
        <w:t>2</w:t>
      </w:r>
      <w:r w:rsidR="000F0C79" w:rsidRPr="004B4D19">
        <w:rPr>
          <w:lang w:val="en-US"/>
        </w:rPr>
        <w:t xml:space="preserve"> </w:t>
      </w:r>
      <w:r w:rsidR="001F67EB" w:rsidRPr="004B4D19">
        <w:t>молби</w:t>
      </w:r>
      <w:r w:rsidR="001229C6" w:rsidRPr="004B4D19">
        <w:t xml:space="preserve">. </w:t>
      </w:r>
      <w:r w:rsidR="00C75948" w:rsidRPr="004B4D19">
        <w:t>Една преписка е прекратена, тъй като м</w:t>
      </w:r>
      <w:r w:rsidR="001D1300" w:rsidRPr="004B4D19">
        <w:t>олителят не е осъден за извършено от него престъпление, а е бил санкциониран с административно наказание за извършено от него нарушение на административния режим за превозване на товари. Помилването не е приложимо към административни наказания, поради което разглеждането на молбите е прекратено.</w:t>
      </w:r>
      <w:r w:rsidR="006D79BE" w:rsidRPr="004B4D19">
        <w:t xml:space="preserve"> В три случая наказанието е изтърпяно към моме</w:t>
      </w:r>
      <w:r w:rsidR="0012375E">
        <w:t>н</w:t>
      </w:r>
      <w:r w:rsidR="006D79BE" w:rsidRPr="004B4D19">
        <w:t>та на разглеждане на молбата. В един от тях молителят търси реабилитация, която не може да се постигне по пътя на помилването. Останалите молби са прекратени, тъй като са подадени скоро след произнасяне на настоящия Вицепрезидент с отказ.</w:t>
      </w:r>
    </w:p>
    <w:p w:rsidR="00E16EE9" w:rsidRPr="004B4D19" w:rsidRDefault="00E16EE9" w:rsidP="001F67EB">
      <w:pPr>
        <w:ind w:firstLine="709"/>
        <w:jc w:val="both"/>
      </w:pPr>
    </w:p>
    <w:p w:rsidR="001F67EB" w:rsidRPr="004B4D19" w:rsidRDefault="00AF7962" w:rsidP="00852053">
      <w:pPr>
        <w:pStyle w:val="ListParagraph"/>
        <w:ind w:left="0"/>
        <w:jc w:val="center"/>
        <w:rPr>
          <w:b/>
        </w:rPr>
      </w:pPr>
      <w:r w:rsidRPr="004B4D19">
        <w:rPr>
          <w:b/>
        </w:rPr>
        <w:t>3</w:t>
      </w:r>
      <w:r w:rsidR="007565E2" w:rsidRPr="004B4D19">
        <w:rPr>
          <w:b/>
        </w:rPr>
        <w:t>.2. </w:t>
      </w:r>
      <w:r w:rsidR="001F67EB" w:rsidRPr="004B4D19">
        <w:rPr>
          <w:b/>
        </w:rPr>
        <w:t>ПРЕДЛОЖЕНИЯ ЗА ОТКАЗ ОТ</w:t>
      </w:r>
      <w:r w:rsidR="00852053" w:rsidRPr="004B4D19">
        <w:rPr>
          <w:b/>
        </w:rPr>
        <w:t xml:space="preserve"> </w:t>
      </w:r>
      <w:r w:rsidR="001F67EB" w:rsidRPr="004B4D19">
        <w:rPr>
          <w:b/>
        </w:rPr>
        <w:t>ПОМИЛВАНЕ</w:t>
      </w:r>
    </w:p>
    <w:p w:rsidR="00632365" w:rsidRPr="004B4D19" w:rsidRDefault="00632365" w:rsidP="00134504">
      <w:pPr>
        <w:pStyle w:val="ListParagraph"/>
        <w:ind w:left="1428"/>
        <w:jc w:val="both"/>
        <w:rPr>
          <w:b/>
          <w:sz w:val="10"/>
          <w:szCs w:val="10"/>
        </w:rPr>
      </w:pPr>
    </w:p>
    <w:p w:rsidR="00DD48DA" w:rsidRDefault="00DD48DA" w:rsidP="00FB746B">
      <w:pPr>
        <w:ind w:firstLine="708"/>
        <w:jc w:val="both"/>
      </w:pPr>
      <w:r>
        <w:t xml:space="preserve">Липсва съществена промяна в практиката. </w:t>
      </w:r>
    </w:p>
    <w:p w:rsidR="00927EBD" w:rsidRPr="004B4D19" w:rsidRDefault="00927EBD" w:rsidP="00927EBD">
      <w:pPr>
        <w:ind w:firstLine="708"/>
        <w:jc w:val="both"/>
      </w:pPr>
      <w:r>
        <w:rPr>
          <w:noProof/>
        </w:rPr>
        <w:drawing>
          <wp:anchor distT="0" distB="0" distL="114300" distR="114300" simplePos="0" relativeHeight="251701248" behindDoc="1" locked="0" layoutInCell="1" allowOverlap="1">
            <wp:simplePos x="0" y="0"/>
            <wp:positionH relativeFrom="column">
              <wp:posOffset>-95250</wp:posOffset>
            </wp:positionH>
            <wp:positionV relativeFrom="paragraph">
              <wp:posOffset>1455420</wp:posOffset>
            </wp:positionV>
            <wp:extent cx="6610350" cy="2133600"/>
            <wp:effectExtent l="0" t="0" r="0" b="0"/>
            <wp:wrapTight wrapText="bothSides">
              <wp:wrapPolygon edited="0">
                <wp:start x="0" y="0"/>
                <wp:lineTo x="0" y="21407"/>
                <wp:lineTo x="21538" y="21407"/>
                <wp:lineTo x="21538" y="0"/>
                <wp:lineTo x="0" y="0"/>
              </wp:wrapPolygon>
            </wp:wrapTight>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4B4D19">
        <w:t>Статистическите значимите наблюдения отново засягат групата на ,,</w:t>
      </w:r>
      <w:r w:rsidRPr="004B4D19">
        <w:rPr>
          <w:b/>
        </w:rPr>
        <w:t>другите</w:t>
      </w:r>
      <w:r w:rsidRPr="004B4D19">
        <w:t xml:space="preserve">“ мотиви. Тя подчертава индивидуалността на преценката при разглеждане на молба за помилване и е типична за този институт, предназначен за необичайни случаи. През отчетния период мотиви, които не се поддават на категоризация поради индивидуалността си, са засегнали </w:t>
      </w:r>
      <w:r>
        <w:rPr>
          <w:b/>
        </w:rPr>
        <w:t>близо 80%</w:t>
      </w:r>
      <w:r w:rsidRPr="004B4D19">
        <w:t xml:space="preserve"> </w:t>
      </w:r>
      <w:r>
        <w:t xml:space="preserve">от </w:t>
      </w:r>
      <w:r w:rsidRPr="004B4D19">
        <w:t>откази</w:t>
      </w:r>
      <w:r>
        <w:t>те</w:t>
      </w:r>
      <w:r w:rsidRPr="004B4D19">
        <w:rPr>
          <w:rStyle w:val="FootnoteReference"/>
        </w:rPr>
        <w:footnoteReference w:id="7"/>
      </w:r>
      <w:r w:rsidRPr="004B4D19">
        <w:t xml:space="preserve">. Данните следва да се интерпретират в контекста на нарастване и на ,,другите“ мотиви на самите молители. </w:t>
      </w:r>
      <w:r w:rsidRPr="004B4D19">
        <w:rPr>
          <w:b/>
        </w:rPr>
        <w:t>Наблюдението показва устойчив процес на все по-ясно очертаване на приложното поле на помилването и отграничаването му от близки до него институти за облекчаване на наказателната репресия</w:t>
      </w:r>
      <w:r w:rsidRPr="004B4D19">
        <w:t>.</w:t>
      </w:r>
    </w:p>
    <w:p w:rsidR="00FB746B" w:rsidRPr="004B4D19" w:rsidRDefault="00927EBD" w:rsidP="00FB746B">
      <w:pPr>
        <w:ind w:firstLine="708"/>
        <w:jc w:val="both"/>
      </w:pPr>
      <w:r>
        <w:t>Най-голям е делът</w:t>
      </w:r>
      <w:r w:rsidR="00FB746B" w:rsidRPr="004B4D19">
        <w:t xml:space="preserve"> на случаите, в които остатъкът от наказанието е преценен като отговарящ на изискванията за пропорционалност и целесъобразност</w:t>
      </w:r>
      <w:r w:rsidR="009169CD" w:rsidRPr="004B4D19">
        <w:t xml:space="preserve">, т.е. </w:t>
      </w:r>
      <w:r w:rsidR="009169CD" w:rsidRPr="004B4D19">
        <w:rPr>
          <w:b/>
        </w:rPr>
        <w:t>репресията не е прекомерна</w:t>
      </w:r>
      <w:r w:rsidR="009169CD" w:rsidRPr="004B4D19">
        <w:t xml:space="preserve">. Тази група </w:t>
      </w:r>
      <w:r>
        <w:t xml:space="preserve">и </w:t>
      </w:r>
      <w:r w:rsidR="00AF0F85" w:rsidRPr="004B4D19">
        <w:t>в</w:t>
      </w:r>
      <w:r w:rsidR="009169CD" w:rsidRPr="004B4D19">
        <w:t xml:space="preserve"> момента статистически преобладава. Това</w:t>
      </w:r>
      <w:r w:rsidR="00FB746B" w:rsidRPr="004B4D19">
        <w:t xml:space="preserve"> се дължи частично на обстоятелството, че наказанията на много молители са определени в привилегирована процедура (споразумение, съкратено съдебно следствие)</w:t>
      </w:r>
      <w:r w:rsidR="00A43F5E" w:rsidRPr="004B4D19">
        <w:t>.</w:t>
      </w:r>
      <w:r w:rsidR="00FB746B" w:rsidRPr="004B4D19">
        <w:t xml:space="preserve"> </w:t>
      </w:r>
      <w:r w:rsidR="00A43F5E" w:rsidRPr="004B4D19">
        <w:t>П</w:t>
      </w:r>
      <w:r w:rsidR="00FB746B" w:rsidRPr="004B4D19">
        <w:t xml:space="preserve">оради </w:t>
      </w:r>
      <w:r w:rsidR="00A43F5E" w:rsidRPr="004B4D19">
        <w:t>това те</w:t>
      </w:r>
      <w:r w:rsidR="00FB746B" w:rsidRPr="004B4D19">
        <w:t xml:space="preserve"> са по-леки, отколкото съдът би наложил в общия наказателен процес за извършеното престъпление. Това съдебно снизхождение допълнително намалява основателността на аргумента на молителя за прекомерност на репресията. </w:t>
      </w:r>
      <w:r>
        <w:t>Наблюдението сочи, че като цяло тежестта на наложените от съда наказания съответства на тежестта на извършените престъпления.</w:t>
      </w:r>
    </w:p>
    <w:p w:rsidR="009169CD" w:rsidRPr="004B4D19" w:rsidRDefault="009169CD" w:rsidP="00FB746B">
      <w:pPr>
        <w:ind w:firstLine="708"/>
        <w:jc w:val="both"/>
      </w:pPr>
      <w:r w:rsidRPr="004B4D19">
        <w:t xml:space="preserve">Особено съществен дял заема групата на мотивите, според които </w:t>
      </w:r>
      <w:r w:rsidRPr="004B4D19">
        <w:rPr>
          <w:b/>
        </w:rPr>
        <w:t>помилването би омаловажило тежестта на извършеното</w:t>
      </w:r>
      <w:r w:rsidR="00927EBD">
        <w:rPr>
          <w:b/>
        </w:rPr>
        <w:t xml:space="preserve"> (над половината)</w:t>
      </w:r>
      <w:r w:rsidRPr="004B4D19">
        <w:t>. Тя обхваща по</w:t>
      </w:r>
      <w:r w:rsidR="00AF0F85" w:rsidRPr="004B4D19">
        <w:t xml:space="preserve">чти изцяло случаи на </w:t>
      </w:r>
      <w:r w:rsidR="00AF0F85" w:rsidRPr="004B4D19">
        <w:lastRenderedPageBreak/>
        <w:t>упорита и</w:t>
      </w:r>
      <w:r w:rsidRPr="004B4D19">
        <w:t xml:space="preserve"> тежка престъпна дейност, отличаваща се с особена нравствена укоримост</w:t>
      </w:r>
      <w:r w:rsidR="00030618" w:rsidRPr="004B4D19">
        <w:t xml:space="preserve"> (напр. </w:t>
      </w:r>
      <w:r w:rsidR="00AF0F85" w:rsidRPr="004B4D19">
        <w:t>засяга</w:t>
      </w:r>
      <w:r w:rsidR="00030618" w:rsidRPr="004B4D19">
        <w:t xml:space="preserve"> особено уязвими пострадали, ръководи се от особено безнравствен мотив и др.)</w:t>
      </w:r>
      <w:r w:rsidRPr="004B4D19">
        <w:t xml:space="preserve">, към която молителят е безкритичен и самооправдателен. </w:t>
      </w:r>
      <w:r w:rsidR="00AF0F85" w:rsidRPr="004B4D19">
        <w:t>П</w:t>
      </w:r>
      <w:r w:rsidRPr="004B4D19">
        <w:t>реценено</w:t>
      </w:r>
      <w:r w:rsidR="00AF0F85" w:rsidRPr="004B4D19">
        <w:t xml:space="preserve"> е</w:t>
      </w:r>
      <w:r w:rsidRPr="004B4D19">
        <w:t>, че помилването би поощрило рецидива на молителя, тъй като би се солидаризирало с оневинителните му представи и криминални нагласи</w:t>
      </w:r>
      <w:r w:rsidR="00030618" w:rsidRPr="004B4D19">
        <w:t>, би компрометирало корекционните усилия на затворите и целите на наложеното от съда наказание, както и че</w:t>
      </w:r>
      <w:r w:rsidRPr="004B4D19">
        <w:t xml:space="preserve"> би застрашило правата и интересите на гражданите, </w:t>
      </w:r>
      <w:r w:rsidR="00030618" w:rsidRPr="004B4D19">
        <w:t>които биха пострадали от бъдещата престъпна дейност на молителя. В тези случаи рискът от рецидив и от вреди при молителя е висок или среден към висок.</w:t>
      </w:r>
      <w:r w:rsidRPr="004B4D19">
        <w:t xml:space="preserve">  </w:t>
      </w:r>
    </w:p>
    <w:p w:rsidR="00A43F5E" w:rsidRPr="004B4D19" w:rsidRDefault="009169CD" w:rsidP="00FB746B">
      <w:pPr>
        <w:ind w:firstLine="708"/>
        <w:jc w:val="both"/>
      </w:pPr>
      <w:r w:rsidRPr="004B4D19">
        <w:t>В сравнение с предходни отчетни периоди с</w:t>
      </w:r>
      <w:r w:rsidR="00F82A19" w:rsidRPr="004B4D19">
        <w:t xml:space="preserve">ъществено </w:t>
      </w:r>
      <w:r w:rsidRPr="004B4D19">
        <w:t>свит</w:t>
      </w:r>
      <w:r w:rsidR="00F82A19" w:rsidRPr="004B4D19">
        <w:t xml:space="preserve"> </w:t>
      </w:r>
      <w:r w:rsidR="00AF0F85" w:rsidRPr="004B4D19">
        <w:t xml:space="preserve">(6%) </w:t>
      </w:r>
      <w:r w:rsidR="00F82A19" w:rsidRPr="004B4D19">
        <w:t xml:space="preserve">е </w:t>
      </w:r>
      <w:r w:rsidR="00A43F5E" w:rsidRPr="004B4D19">
        <w:t>делът на случаите, в които молбата е отхвърлена, тъй като твърденията в нея са опровергани от установените факти (</w:t>
      </w:r>
      <w:r w:rsidR="00A43F5E" w:rsidRPr="004B4D19">
        <w:rPr>
          <w:b/>
        </w:rPr>
        <w:t>недоказаност</w:t>
      </w:r>
      <w:r w:rsidR="00A43F5E" w:rsidRPr="004B4D19">
        <w:t>). Групата почти изцяло се обхваща от групата на молбите, в които се сочат хуманитарни обстоятелства</w:t>
      </w:r>
      <w:r w:rsidR="00927EBD">
        <w:t xml:space="preserve"> и самооправдателни мотиви</w:t>
      </w:r>
      <w:r w:rsidR="00A43F5E" w:rsidRPr="004B4D19">
        <w:t>.</w:t>
      </w:r>
      <w:r w:rsidR="00927EBD">
        <w:t xml:space="preserve"> Тя е статистически най-малка. За сравнение, в началото на предходния мандат тя бе сред статистически значимите. Свиването Й показва, че молителите </w:t>
      </w:r>
      <w:r w:rsidR="003E718A">
        <w:t xml:space="preserve">осъзнават необходимостта </w:t>
      </w:r>
      <w:r w:rsidR="00927EBD">
        <w:t>да докажат твърденията си.</w:t>
      </w:r>
    </w:p>
    <w:p w:rsidR="002B0E05" w:rsidRPr="004B4D19" w:rsidRDefault="00A43F5E" w:rsidP="003943C6">
      <w:pPr>
        <w:ind w:firstLine="708"/>
        <w:jc w:val="both"/>
      </w:pPr>
      <w:r w:rsidRPr="004B4D19">
        <w:t xml:space="preserve">Като цяло, </w:t>
      </w:r>
      <w:r w:rsidR="005F6CDF" w:rsidRPr="004B4D19">
        <w:t xml:space="preserve">Комисията се е произнесла с предложение за отказ от помилване, </w:t>
      </w:r>
      <w:r w:rsidRPr="004B4D19">
        <w:t>когато</w:t>
      </w:r>
      <w:r w:rsidR="00880DB2" w:rsidRPr="004B4D19">
        <w:t xml:space="preserve"> </w:t>
      </w:r>
      <w:r w:rsidR="005F6CDF" w:rsidRPr="004B4D19">
        <w:t xml:space="preserve">е достигнала до заключението, че помилването би представлявало омаловажаване на тежестта на извършеното и пренебрегване на опасността, която осъденият продължава да представлява за обществото, като </w:t>
      </w:r>
      <w:r w:rsidR="006A7EAD" w:rsidRPr="004B4D19">
        <w:t>не са налице изключителни обстоятелства, които да правят изтърпяването на наказанието през остатъка му прекомерно или нецелесъобразно.</w:t>
      </w:r>
      <w:r w:rsidR="00632365" w:rsidRPr="004B4D19">
        <w:t xml:space="preserve"> Най-често след постановяване на присъдата не са настъпвали никакви обстоятелства от естество да направят наказанието непропорционално тежко, поради което помилването би представлявало юридическа преоценка на същите факти, въз основа на които съдът е определил наказанието. Такова действие би представлявало ревизия на съдебния акт, с която се нарушава независимостта на съдебната власт, на която е конституционно възложено да осъществява правосъдието.</w:t>
      </w:r>
    </w:p>
    <w:p w:rsidR="0049116B" w:rsidRPr="004B4D19" w:rsidRDefault="008D4252" w:rsidP="005F6CDF">
      <w:pPr>
        <w:ind w:firstLine="708"/>
        <w:jc w:val="both"/>
      </w:pPr>
      <w:r w:rsidRPr="004B4D19">
        <w:t>При молителите с устойчив и</w:t>
      </w:r>
      <w:r w:rsidR="0049116B" w:rsidRPr="004B4D19">
        <w:t xml:space="preserve"> ескалиращ престъпен модел Комисията е установила, че нагласите, довели до извършване на престъплението, са съхранени, при отказ на съответния молител да се разграничи от извършеното или липса на ресурси и мотивация у него за тяхната промяна. Рискът от рецидив в тези групи молители е висок или среден към висок.</w:t>
      </w:r>
    </w:p>
    <w:p w:rsidR="00D53237" w:rsidRPr="004B4D19" w:rsidRDefault="00D53237" w:rsidP="00F17535">
      <w:pPr>
        <w:ind w:firstLine="708"/>
        <w:jc w:val="both"/>
      </w:pPr>
    </w:p>
    <w:p w:rsidR="001F67EB" w:rsidRPr="004B4D19" w:rsidRDefault="008B2CAA" w:rsidP="007565E2">
      <w:pPr>
        <w:jc w:val="center"/>
        <w:rPr>
          <w:b/>
        </w:rPr>
      </w:pPr>
      <w:r>
        <w:rPr>
          <w:b/>
        </w:rPr>
        <w:t>2</w:t>
      </w:r>
      <w:r w:rsidR="001F67EB" w:rsidRPr="004B4D19">
        <w:rPr>
          <w:b/>
        </w:rPr>
        <w:t>.3</w:t>
      </w:r>
      <w:r w:rsidR="007565E2" w:rsidRPr="004B4D19">
        <w:rPr>
          <w:b/>
        </w:rPr>
        <w:t>.</w:t>
      </w:r>
      <w:r w:rsidR="001F67EB" w:rsidRPr="004B4D19">
        <w:rPr>
          <w:b/>
        </w:rPr>
        <w:t xml:space="preserve"> ПРЕДЛОЖЕНИЯ ЗА ПОМИЛВАНЕ</w:t>
      </w:r>
    </w:p>
    <w:p w:rsidR="009C3004" w:rsidRPr="004B4D19" w:rsidRDefault="009C3004" w:rsidP="001F67EB">
      <w:pPr>
        <w:ind w:firstLine="709"/>
        <w:jc w:val="both"/>
        <w:rPr>
          <w:sz w:val="10"/>
          <w:szCs w:val="10"/>
        </w:rPr>
      </w:pPr>
    </w:p>
    <w:p w:rsidR="006D79BE" w:rsidRPr="004B4D19" w:rsidRDefault="009D21D2" w:rsidP="009D21D2">
      <w:pPr>
        <w:pStyle w:val="ListParagraph"/>
        <w:ind w:left="0" w:firstLine="708"/>
        <w:jc w:val="both"/>
        <w:rPr>
          <w:b/>
        </w:rPr>
      </w:pPr>
      <w:r w:rsidRPr="004B4D19">
        <w:t xml:space="preserve">През </w:t>
      </w:r>
      <w:r w:rsidR="00622AB9" w:rsidRPr="004B4D19">
        <w:t>отчетния период</w:t>
      </w:r>
      <w:r w:rsidRPr="004B4D19">
        <w:t xml:space="preserve"> </w:t>
      </w:r>
      <w:r w:rsidRPr="004B4D19">
        <w:rPr>
          <w:b/>
        </w:rPr>
        <w:t xml:space="preserve">Комисията е направила </w:t>
      </w:r>
      <w:r w:rsidR="000C5D8A">
        <w:rPr>
          <w:b/>
        </w:rPr>
        <w:t>3</w:t>
      </w:r>
      <w:r w:rsidRPr="004B4D19">
        <w:rPr>
          <w:b/>
        </w:rPr>
        <w:t xml:space="preserve"> предложени</w:t>
      </w:r>
      <w:r w:rsidR="006D79BE" w:rsidRPr="004B4D19">
        <w:rPr>
          <w:b/>
        </w:rPr>
        <w:t>я</w:t>
      </w:r>
      <w:r w:rsidR="00B7469F" w:rsidRPr="004B4D19">
        <w:rPr>
          <w:b/>
        </w:rPr>
        <w:t xml:space="preserve"> за помилване</w:t>
      </w:r>
      <w:r w:rsidR="008B2CAA">
        <w:rPr>
          <w:b/>
        </w:rPr>
        <w:t xml:space="preserve">, </w:t>
      </w:r>
      <w:r w:rsidR="000C5D8A">
        <w:rPr>
          <w:b/>
        </w:rPr>
        <w:t xml:space="preserve">2 от </w:t>
      </w:r>
      <w:r w:rsidR="008B2CAA">
        <w:rPr>
          <w:b/>
        </w:rPr>
        <w:t>които са били уважени</w:t>
      </w:r>
      <w:r w:rsidR="00312779" w:rsidRPr="004B4D19">
        <w:rPr>
          <w:b/>
        </w:rPr>
        <w:t>.</w:t>
      </w:r>
      <w:r w:rsidR="000C5D8A">
        <w:rPr>
          <w:b/>
        </w:rPr>
        <w:t xml:space="preserve"> </w:t>
      </w:r>
      <w:r w:rsidR="000C5D8A" w:rsidRPr="000C5D8A">
        <w:t>Третото не е уважено.</w:t>
      </w:r>
      <w:r w:rsidRPr="004B4D19">
        <w:rPr>
          <w:b/>
        </w:rPr>
        <w:t xml:space="preserve"> </w:t>
      </w:r>
    </w:p>
    <w:p w:rsidR="006D79BE" w:rsidRPr="004B4D19" w:rsidRDefault="006D79BE" w:rsidP="006D79BE">
      <w:pPr>
        <w:pStyle w:val="ListParagraph"/>
        <w:ind w:left="0" w:firstLine="708"/>
        <w:jc w:val="both"/>
        <w:rPr>
          <w:shd w:val="clear" w:color="auto" w:fill="FFFFFF"/>
        </w:rPr>
      </w:pPr>
      <w:r w:rsidRPr="004B4D19">
        <w:t xml:space="preserve">Сред уважените </w:t>
      </w:r>
      <w:r w:rsidRPr="004B4D19">
        <w:rPr>
          <w:shd w:val="clear" w:color="auto" w:fill="FFFFFF"/>
        </w:rPr>
        <w:t xml:space="preserve">е </w:t>
      </w:r>
      <w:r w:rsidRPr="004B4D19">
        <w:rPr>
          <w:b/>
          <w:shd w:val="clear" w:color="auto" w:fill="FFFFFF"/>
        </w:rPr>
        <w:t>първият случай на помилване на наказание ,,лишаване от правоуправление на МПС завинаги“ в българската история</w:t>
      </w:r>
      <w:r w:rsidRPr="004B4D19">
        <w:rPr>
          <w:shd w:val="clear" w:color="auto" w:fill="FFFFFF"/>
        </w:rPr>
        <w:t>.</w:t>
      </w:r>
    </w:p>
    <w:p w:rsidR="009D21D2" w:rsidRPr="004B4D19" w:rsidRDefault="006D79BE" w:rsidP="009D21D2">
      <w:pPr>
        <w:pStyle w:val="ListParagraph"/>
        <w:ind w:left="0" w:firstLine="708"/>
        <w:jc w:val="both"/>
      </w:pPr>
      <w:r w:rsidRPr="004B4D19">
        <w:t>Резюме на случаите ведно с мотивите на предложенията са отразени в Регистъра на направе</w:t>
      </w:r>
      <w:r w:rsidR="008B2CAA">
        <w:t>н</w:t>
      </w:r>
      <w:r w:rsidRPr="004B4D19">
        <w:t>ите пред</w:t>
      </w:r>
      <w:r w:rsidR="008B2CAA">
        <w:t>л</w:t>
      </w:r>
      <w:r w:rsidRPr="004B4D19">
        <w:t>ожения и издадените укази за помилване, 2017 г., достъпен на сайта на държавния глава.</w:t>
      </w:r>
    </w:p>
    <w:p w:rsidR="0012375E" w:rsidRDefault="0012375E">
      <w:pPr>
        <w:rPr>
          <w:b/>
          <w:shd w:val="clear" w:color="auto" w:fill="FFFFFF"/>
        </w:rPr>
      </w:pPr>
      <w:r>
        <w:rPr>
          <w:b/>
          <w:shd w:val="clear" w:color="auto" w:fill="FFFFFF"/>
        </w:rPr>
        <w:br w:type="page"/>
      </w:r>
    </w:p>
    <w:p w:rsidR="00852053" w:rsidRPr="004B4D19" w:rsidRDefault="00852053" w:rsidP="009D21D2">
      <w:pPr>
        <w:pStyle w:val="ListParagraph"/>
        <w:ind w:left="0" w:firstLine="708"/>
        <w:jc w:val="both"/>
        <w:rPr>
          <w:b/>
          <w:shd w:val="clear" w:color="auto" w:fill="FFFFFF"/>
        </w:rPr>
      </w:pPr>
    </w:p>
    <w:p w:rsidR="008B2CAA" w:rsidRPr="004B4D19" w:rsidRDefault="008B2CAA" w:rsidP="008B2CAA">
      <w:pPr>
        <w:jc w:val="center"/>
        <w:rPr>
          <w:b/>
          <w:sz w:val="28"/>
          <w:szCs w:val="28"/>
        </w:rPr>
      </w:pPr>
      <w:r>
        <w:rPr>
          <w:b/>
          <w:sz w:val="28"/>
          <w:szCs w:val="28"/>
        </w:rPr>
        <w:t>3</w:t>
      </w:r>
      <w:r w:rsidRPr="004B4D19">
        <w:rPr>
          <w:b/>
          <w:sz w:val="28"/>
          <w:szCs w:val="28"/>
        </w:rPr>
        <w:t>. НАБЛЮДЕНИЯ, ИЗВОДИ И ПРЕПОРЪКИ НА КОМИСИЯТА</w:t>
      </w:r>
    </w:p>
    <w:p w:rsidR="008B2CAA" w:rsidRPr="004B4D19" w:rsidRDefault="008B2CAA" w:rsidP="008B2CAA">
      <w:pPr>
        <w:pStyle w:val="ListParagraph"/>
        <w:ind w:left="0" w:firstLine="708"/>
        <w:jc w:val="both"/>
        <w:rPr>
          <w:b/>
        </w:rPr>
      </w:pPr>
    </w:p>
    <w:p w:rsidR="008B2CAA" w:rsidRPr="004B4D19" w:rsidRDefault="008B2CAA" w:rsidP="008B2CAA">
      <w:pPr>
        <w:pStyle w:val="ListParagraph"/>
        <w:ind w:left="0" w:firstLine="708"/>
        <w:jc w:val="both"/>
      </w:pPr>
      <w:r w:rsidRPr="004B4D19">
        <w:t xml:space="preserve">Въз основа на своята работа и свързаните с нея аналитични наблюдения, </w:t>
      </w:r>
      <w:r>
        <w:t xml:space="preserve">които засягат около 1/3 от осъдените в местата за лишаване от свобода, </w:t>
      </w:r>
      <w:r w:rsidRPr="004B4D19">
        <w:t>Комисията прави следните констатации и предложения:</w:t>
      </w:r>
    </w:p>
    <w:p w:rsidR="008B2CAA" w:rsidRPr="004B4D19" w:rsidRDefault="008B2CAA" w:rsidP="008B2CAA">
      <w:pPr>
        <w:pStyle w:val="ListParagraph"/>
        <w:ind w:left="0" w:firstLine="708"/>
        <w:jc w:val="both"/>
        <w:rPr>
          <w:b/>
        </w:rPr>
      </w:pPr>
      <w:r w:rsidRPr="004B4D19">
        <w:rPr>
          <w:b/>
        </w:rPr>
        <w:t xml:space="preserve">I. Относно политиките по превенция на престъпността и ресоциализация на осъдените: </w:t>
      </w:r>
    </w:p>
    <w:p w:rsidR="008B2CAA" w:rsidRPr="004B4D19" w:rsidRDefault="008B2CAA" w:rsidP="008B2CAA">
      <w:pPr>
        <w:pStyle w:val="ListParagraph"/>
        <w:ind w:left="0" w:firstLine="708"/>
        <w:jc w:val="both"/>
      </w:pPr>
      <w:r w:rsidRPr="001F7953">
        <w:rPr>
          <w:b/>
        </w:rPr>
        <w:t>1.</w:t>
      </w:r>
      <w:r w:rsidRPr="004B4D19">
        <w:t xml:space="preserve"> Трайно се констатира </w:t>
      </w:r>
      <w:r w:rsidRPr="004E7E4C">
        <w:rPr>
          <w:b/>
        </w:rPr>
        <w:t>отсъствие на политика за превенция на рецидива и ресоциализация на осъдените след освобождаването им</w:t>
      </w:r>
      <w:r w:rsidRPr="004B4D19">
        <w:t xml:space="preserve"> от местата за лишаване от свобода. Липсва</w:t>
      </w:r>
      <w:r>
        <w:t>т</w:t>
      </w:r>
      <w:r w:rsidRPr="004B4D19">
        <w:t xml:space="preserve"> стратегия</w:t>
      </w:r>
      <w:r>
        <w:t>, политики и конкретни мерки</w:t>
      </w:r>
      <w:r w:rsidRPr="004B4D19">
        <w:t xml:space="preserve"> за подпомагане на тези лица при завръщането им в обществото. Вместо това действат институционални и обществени практики на отхвърляне на осъдените, което обезсмисля </w:t>
      </w:r>
      <w:r>
        <w:t>корекционните постижения</w:t>
      </w:r>
      <w:r w:rsidRPr="004B4D19">
        <w:t xml:space="preserve"> и представлява мощен </w:t>
      </w:r>
      <w:r>
        <w:t>стимул</w:t>
      </w:r>
      <w:r w:rsidRPr="004B4D19">
        <w:t xml:space="preserve"> за рецидив на тези лица</w:t>
      </w:r>
      <w:r>
        <w:t>.</w:t>
      </w:r>
    </w:p>
    <w:p w:rsidR="008B2CAA" w:rsidRDefault="008B2CAA" w:rsidP="008B2CAA">
      <w:pPr>
        <w:pStyle w:val="ListParagraph"/>
        <w:ind w:left="0" w:firstLine="708"/>
        <w:jc w:val="both"/>
      </w:pPr>
      <w:r w:rsidRPr="001F7953">
        <w:rPr>
          <w:b/>
        </w:rPr>
        <w:t>2.</w:t>
      </w:r>
      <w:r w:rsidRPr="004B4D19">
        <w:t> </w:t>
      </w:r>
      <w:r w:rsidRPr="004B4D19">
        <w:rPr>
          <w:b/>
        </w:rPr>
        <w:t>Не се използва потенциалът на образователните политики</w:t>
      </w:r>
      <w:r w:rsidRPr="004B4D19">
        <w:t xml:space="preserve">, които са утвърдени </w:t>
      </w:r>
      <w:r>
        <w:t>универсални средства</w:t>
      </w:r>
      <w:r w:rsidRPr="004B4D19">
        <w:t xml:space="preserve"> </w:t>
      </w:r>
      <w:r>
        <w:t>за</w:t>
      </w:r>
      <w:r w:rsidRPr="004B4D19">
        <w:t xml:space="preserve"> превенция на престъпността, включително рецидив</w:t>
      </w:r>
      <w:r>
        <w:t>ната, и особено на битовата</w:t>
      </w:r>
      <w:r w:rsidRPr="004B4D19">
        <w:t xml:space="preserve">. От анализа на профила на молителя е видно, че колкото осъдените </w:t>
      </w:r>
      <w:r>
        <w:t>са по-млади, толкова са по-</w:t>
      </w:r>
      <w:r w:rsidRPr="004B4D19">
        <w:t>слабо образовани</w:t>
      </w:r>
      <w:r>
        <w:t>,</w:t>
      </w:r>
      <w:r w:rsidRPr="004B4D19">
        <w:t xml:space="preserve"> с по-</w:t>
      </w:r>
      <w:r>
        <w:t>немощни</w:t>
      </w:r>
      <w:r w:rsidRPr="004B4D19">
        <w:t xml:space="preserve"> трудови навици и умения</w:t>
      </w:r>
      <w:r>
        <w:t>, по-слаби ресурси за ресоциализация и по-висока готовност за ангажиране с престъпления</w:t>
      </w:r>
      <w:r w:rsidRPr="004B4D19">
        <w:t xml:space="preserve">. Ниското образователно равнище е пряко свързано не само с трайна криминализация, но и с избора на агресивни, жестоки и примитивни престъпни стратегии, слаби задръжки пред ескалацията на нарушенията, развиване на съпътстващи форми на асоциално поведение (алкохолизъм, хазартни и наркотични зависимости, домашно насилие), тенденции на престъпно сдружаване и групово извършване на тежки престъпления като елемент от обичайния бит. </w:t>
      </w:r>
    </w:p>
    <w:p w:rsidR="00B4246D" w:rsidRDefault="00B4246D" w:rsidP="008B2CAA">
      <w:pPr>
        <w:pStyle w:val="ListParagraph"/>
        <w:ind w:left="0" w:firstLine="708"/>
        <w:jc w:val="both"/>
      </w:pPr>
      <w:r>
        <w:t>Значим извод, валиден за последната година от работата на Комисията, е увеличаването на дела рецидивисти с трайни престъпни модели сред групите с начално, основно и средно образования. Наблюдението очертава дефицити на образователната система да осигури пълноценна социализация на тези лица.</w:t>
      </w:r>
    </w:p>
    <w:p w:rsidR="008B2CAA" w:rsidRPr="004B4D19" w:rsidRDefault="008B2CAA" w:rsidP="008B2CAA">
      <w:pPr>
        <w:pStyle w:val="ListParagraph"/>
        <w:ind w:left="0" w:firstLine="708"/>
        <w:jc w:val="both"/>
      </w:pPr>
      <w:r w:rsidRPr="004B4D19">
        <w:t xml:space="preserve">Значима група преписки позволяват извода, че описаните проблеми се задълбочават и изострят при предаването </w:t>
      </w:r>
      <w:r>
        <w:t>им</w:t>
      </w:r>
      <w:r w:rsidRPr="004B4D19">
        <w:t xml:space="preserve"> между поколенията, създавайки социални процеси на </w:t>
      </w:r>
      <w:r>
        <w:t xml:space="preserve">трайно </w:t>
      </w:r>
      <w:r w:rsidRPr="004B4D19">
        <w:t xml:space="preserve">сегрегиране на цели общности и изграждане в тях на алтернативни норми. </w:t>
      </w:r>
    </w:p>
    <w:p w:rsidR="00F068F7" w:rsidRDefault="008B2CAA" w:rsidP="00F068F7">
      <w:pPr>
        <w:pStyle w:val="ListParagraph"/>
        <w:ind w:left="0" w:firstLine="708"/>
        <w:jc w:val="both"/>
      </w:pPr>
      <w:r w:rsidRPr="004B4D19">
        <w:rPr>
          <w:noProof/>
        </w:rPr>
        <mc:AlternateContent>
          <mc:Choice Requires="wps">
            <w:drawing>
              <wp:anchor distT="0" distB="0" distL="114300" distR="114300" simplePos="0" relativeHeight="251628544" behindDoc="0" locked="0" layoutInCell="1" allowOverlap="1" wp14:anchorId="2E560CAE" wp14:editId="36313425">
                <wp:simplePos x="0" y="0"/>
                <wp:positionH relativeFrom="column">
                  <wp:posOffset>3744595</wp:posOffset>
                </wp:positionH>
                <wp:positionV relativeFrom="paragraph">
                  <wp:posOffset>90170</wp:posOffset>
                </wp:positionV>
                <wp:extent cx="2787650" cy="1828800"/>
                <wp:effectExtent l="0" t="0" r="12700" b="26035"/>
                <wp:wrapSquare wrapText="bothSides"/>
                <wp:docPr id="19" name="Text Box 19"/>
                <wp:cNvGraphicFramePr/>
                <a:graphic xmlns:a="http://schemas.openxmlformats.org/drawingml/2006/main">
                  <a:graphicData uri="http://schemas.microsoft.com/office/word/2010/wordprocessingShape">
                    <wps:wsp>
                      <wps:cNvSpPr txBox="1"/>
                      <wps:spPr>
                        <a:xfrm>
                          <a:off x="0" y="0"/>
                          <a:ext cx="2787650" cy="1828800"/>
                        </a:xfrm>
                        <a:prstGeom prst="rect">
                          <a:avLst/>
                        </a:prstGeom>
                        <a:noFill/>
                        <a:ln w="6350">
                          <a:solidFill>
                            <a:prstClr val="black"/>
                          </a:solidFill>
                        </a:ln>
                        <a:effectLst/>
                      </wps:spPr>
                      <wps:txbx>
                        <w:txbxContent>
                          <w:p w:rsidR="008B2CAA" w:rsidRDefault="008B2CAA" w:rsidP="008B2CAA">
                            <w:pPr>
                              <w:pStyle w:val="ListParagraph"/>
                              <w:ind w:left="0" w:firstLine="360"/>
                              <w:jc w:val="both"/>
                              <w:rPr>
                                <w:sz w:val="20"/>
                                <w:szCs w:val="20"/>
                              </w:rPr>
                            </w:pPr>
                            <w:r w:rsidRPr="00501CB7">
                              <w:rPr>
                                <w:sz w:val="20"/>
                                <w:szCs w:val="20"/>
                              </w:rPr>
                              <w:t xml:space="preserve">В сравнение с първата година на предходния мандат делът на разглеждани от Комисията случаи, в които престъпният модел на поведение на молителя е стабилизиран в резултат на криминогенни рискове в детска и младежка възраст, е увеличен </w:t>
                            </w:r>
                            <w:r>
                              <w:rPr>
                                <w:sz w:val="20"/>
                                <w:szCs w:val="20"/>
                              </w:rPr>
                              <w:t xml:space="preserve">над </w:t>
                            </w:r>
                            <w:r w:rsidR="00737B7B">
                              <w:rPr>
                                <w:sz w:val="20"/>
                                <w:szCs w:val="20"/>
                              </w:rPr>
                              <w:t>7</w:t>
                            </w:r>
                            <w:r>
                              <w:rPr>
                                <w:sz w:val="20"/>
                                <w:szCs w:val="20"/>
                              </w:rPr>
                              <w:t xml:space="preserve"> пъти.</w:t>
                            </w:r>
                            <w:r w:rsidRPr="00501CB7">
                              <w:rPr>
                                <w:sz w:val="20"/>
                                <w:szCs w:val="20"/>
                              </w:rPr>
                              <w:t xml:space="preserve"> </w:t>
                            </w:r>
                          </w:p>
                          <w:p w:rsidR="008B2CAA" w:rsidRPr="00501CB7" w:rsidRDefault="008B2CAA" w:rsidP="008B2CAA">
                            <w:pPr>
                              <w:pStyle w:val="ListParagraph"/>
                              <w:ind w:left="0" w:firstLine="360"/>
                              <w:jc w:val="both"/>
                              <w:rPr>
                                <w:sz w:val="20"/>
                                <w:szCs w:val="20"/>
                              </w:rPr>
                            </w:pPr>
                            <w:r>
                              <w:rPr>
                                <w:sz w:val="20"/>
                                <w:szCs w:val="20"/>
                              </w:rPr>
                              <w:t>П</w:t>
                            </w:r>
                            <w:r w:rsidRPr="00501CB7">
                              <w:rPr>
                                <w:sz w:val="20"/>
                                <w:szCs w:val="20"/>
                              </w:rPr>
                              <w:t xml:space="preserve">рез 2012 г. дял от 7% от разгледаните молби за помилване очертава </w:t>
                            </w:r>
                            <w:r>
                              <w:rPr>
                                <w:sz w:val="20"/>
                                <w:szCs w:val="20"/>
                              </w:rPr>
                              <w:t xml:space="preserve">устойчиви и ескалиращи криминални модели в резултат на </w:t>
                            </w:r>
                            <w:r w:rsidRPr="00501CB7">
                              <w:rPr>
                                <w:sz w:val="20"/>
                                <w:szCs w:val="20"/>
                              </w:rPr>
                              <w:t xml:space="preserve">отсъствието на превенция срещу брутални форми на насилствена детска криминализация, през 2013 г. този дял е близо 30 %, през 2014 г. – </w:t>
                            </w:r>
                            <w:r>
                              <w:rPr>
                                <w:sz w:val="20"/>
                                <w:szCs w:val="20"/>
                                <w:lang w:val="en-US"/>
                              </w:rPr>
                              <w:t xml:space="preserve">2016 </w:t>
                            </w:r>
                            <w:r w:rsidR="00D858B3">
                              <w:rPr>
                                <w:sz w:val="20"/>
                                <w:szCs w:val="20"/>
                              </w:rPr>
                              <w:t xml:space="preserve">достига </w:t>
                            </w:r>
                            <w:r>
                              <w:rPr>
                                <w:sz w:val="20"/>
                                <w:szCs w:val="20"/>
                              </w:rPr>
                              <w:t>47</w:t>
                            </w:r>
                            <w:r w:rsidRPr="00501CB7">
                              <w:rPr>
                                <w:sz w:val="20"/>
                                <w:szCs w:val="20"/>
                              </w:rPr>
                              <w:t xml:space="preserve">%, </w:t>
                            </w:r>
                            <w:r>
                              <w:rPr>
                                <w:sz w:val="20"/>
                                <w:szCs w:val="20"/>
                              </w:rPr>
                              <w:t xml:space="preserve">а </w:t>
                            </w:r>
                            <w:r w:rsidRPr="00501CB7">
                              <w:rPr>
                                <w:sz w:val="20"/>
                                <w:szCs w:val="20"/>
                              </w:rPr>
                              <w:t>през първото полугодие на 2017 г</w:t>
                            </w:r>
                            <w:r w:rsidR="00737B7B">
                              <w:rPr>
                                <w:sz w:val="20"/>
                                <w:szCs w:val="20"/>
                                <w:lang w:val="en-US"/>
                              </w:rPr>
                              <w:t>. – 5</w:t>
                            </w:r>
                            <w:r w:rsidR="00AD604D">
                              <w:rPr>
                                <w:sz w:val="20"/>
                                <w:szCs w:val="20"/>
                              </w:rPr>
                              <w:t>3</w:t>
                            </w:r>
                            <w:r>
                              <w:rPr>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E560CAE" id="Text Box 19" o:spid="_x0000_s1029" type="#_x0000_t202" style="position:absolute;left:0;text-align:left;margin-left:294.85pt;margin-top:7.1pt;width:219.5pt;height:2in;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" filled="f" strokeweight=".5pt">
                <v:textbox style="mso-fit-shape-to-text:t">
                  <w:txbxContent>
                    <w:p w:rsidR="008B2CAA" w:rsidRDefault="008B2CAA" w:rsidP="008B2CAA">
                      <w:pPr>
                        <w:pStyle w:val="ListParagraph"/>
                        <w:ind w:left="0" w:firstLine="360"/>
                        <w:jc w:val="both"/>
                        <w:rPr>
                          <w:sz w:val="20"/>
                          <w:szCs w:val="20"/>
                        </w:rPr>
                      </w:pPr>
                      <w:r w:rsidRPr="00501CB7">
                        <w:rPr>
                          <w:sz w:val="20"/>
                          <w:szCs w:val="20"/>
                        </w:rPr>
                        <w:t xml:space="preserve">В сравнение с първата година на предходния мандат делът на разглеждани от Комисията случаи, в които престъпният модел на поведение на молителя е стабилизиран в резултат на криминогенни рискове в детска и младежка възраст, е увеличен </w:t>
                      </w:r>
                      <w:r>
                        <w:rPr>
                          <w:sz w:val="20"/>
                          <w:szCs w:val="20"/>
                        </w:rPr>
                        <w:t xml:space="preserve">над </w:t>
                      </w:r>
                      <w:r w:rsidR="00737B7B">
                        <w:rPr>
                          <w:sz w:val="20"/>
                          <w:szCs w:val="20"/>
                        </w:rPr>
                        <w:t>7</w:t>
                      </w:r>
                      <w:r>
                        <w:rPr>
                          <w:sz w:val="20"/>
                          <w:szCs w:val="20"/>
                        </w:rPr>
                        <w:t xml:space="preserve"> пъти.</w:t>
                      </w:r>
                      <w:r w:rsidRPr="00501CB7">
                        <w:rPr>
                          <w:sz w:val="20"/>
                          <w:szCs w:val="20"/>
                        </w:rPr>
                        <w:t xml:space="preserve"> </w:t>
                      </w:r>
                    </w:p>
                    <w:p w:rsidR="008B2CAA" w:rsidRPr="00501CB7" w:rsidRDefault="008B2CAA" w:rsidP="008B2CAA">
                      <w:pPr>
                        <w:pStyle w:val="ListParagraph"/>
                        <w:ind w:left="0" w:firstLine="360"/>
                        <w:jc w:val="both"/>
                        <w:rPr>
                          <w:sz w:val="20"/>
                          <w:szCs w:val="20"/>
                        </w:rPr>
                      </w:pPr>
                      <w:r>
                        <w:rPr>
                          <w:sz w:val="20"/>
                          <w:szCs w:val="20"/>
                        </w:rPr>
                        <w:t>П</w:t>
                      </w:r>
                      <w:r w:rsidRPr="00501CB7">
                        <w:rPr>
                          <w:sz w:val="20"/>
                          <w:szCs w:val="20"/>
                        </w:rPr>
                        <w:t xml:space="preserve">рез 2012 г. дял от 7% от разгледаните молби за помилване очертава </w:t>
                      </w:r>
                      <w:r>
                        <w:rPr>
                          <w:sz w:val="20"/>
                          <w:szCs w:val="20"/>
                        </w:rPr>
                        <w:t xml:space="preserve">устойчиви и ескалиращи криминални модели в резултат на </w:t>
                      </w:r>
                      <w:r w:rsidRPr="00501CB7">
                        <w:rPr>
                          <w:sz w:val="20"/>
                          <w:szCs w:val="20"/>
                        </w:rPr>
                        <w:t xml:space="preserve">отсъствието на превенция срещу брутални форми на насилствена детска криминализация, през 2013 г. този дял е близо 30 %, през 2014 г. – </w:t>
                      </w:r>
                      <w:r>
                        <w:rPr>
                          <w:sz w:val="20"/>
                          <w:szCs w:val="20"/>
                          <w:lang w:val="en-US"/>
                        </w:rPr>
                        <w:t xml:space="preserve">2016 </w:t>
                      </w:r>
                      <w:r w:rsidR="00D858B3">
                        <w:rPr>
                          <w:sz w:val="20"/>
                          <w:szCs w:val="20"/>
                        </w:rPr>
                        <w:t xml:space="preserve">достига </w:t>
                      </w:r>
                      <w:r>
                        <w:rPr>
                          <w:sz w:val="20"/>
                          <w:szCs w:val="20"/>
                        </w:rPr>
                        <w:t>47</w:t>
                      </w:r>
                      <w:r w:rsidRPr="00501CB7">
                        <w:rPr>
                          <w:sz w:val="20"/>
                          <w:szCs w:val="20"/>
                        </w:rPr>
                        <w:t xml:space="preserve">%, </w:t>
                      </w:r>
                      <w:r>
                        <w:rPr>
                          <w:sz w:val="20"/>
                          <w:szCs w:val="20"/>
                        </w:rPr>
                        <w:t xml:space="preserve">а </w:t>
                      </w:r>
                      <w:r w:rsidRPr="00501CB7">
                        <w:rPr>
                          <w:sz w:val="20"/>
                          <w:szCs w:val="20"/>
                        </w:rPr>
                        <w:t>през първото полугодие на 2017 г</w:t>
                      </w:r>
                      <w:r w:rsidR="00737B7B">
                        <w:rPr>
                          <w:sz w:val="20"/>
                          <w:szCs w:val="20"/>
                          <w:lang w:val="en-US"/>
                        </w:rPr>
                        <w:t>. – 5</w:t>
                      </w:r>
                      <w:r w:rsidR="00AD604D">
                        <w:rPr>
                          <w:sz w:val="20"/>
                          <w:szCs w:val="20"/>
                        </w:rPr>
                        <w:t>3</w:t>
                      </w:r>
                      <w:r>
                        <w:rPr>
                          <w:sz w:val="20"/>
                          <w:szCs w:val="20"/>
                          <w:lang w:val="en-US"/>
                        </w:rPr>
                        <w:t>%.</w:t>
                      </w:r>
                    </w:p>
                  </w:txbxContent>
                </v:textbox>
                <w10:wrap type="square"/>
              </v:shape>
            </w:pict>
          </mc:Fallback>
        </mc:AlternateContent>
      </w:r>
      <w:r w:rsidRPr="004B4D19">
        <w:rPr>
          <w:b/>
        </w:rPr>
        <w:t>3. В България са формирани и се възпроизвеждат откъснати от обществото субкултурни общности</w:t>
      </w:r>
      <w:r w:rsidRPr="004B4D19">
        <w:t xml:space="preserve">. Спрямо тях действат многобройни и интензивни криминогенни фактори, които тези общности не могат да преодолеят без мощна държавна и обществена подкрепа. Тези фактори се отнасят практически до всички обстоятелства, обуславящи рецидивния риск – бедност, образователни дефицити, </w:t>
      </w:r>
      <w:r>
        <w:t>безработица</w:t>
      </w:r>
      <w:r w:rsidRPr="004B4D19">
        <w:t>, ранна инвалидизация, необратими нарушения на социализацията (функциониране през насилие, конфликти, отхвърляне, изолация и противопоставяне), изцяло друг, несъвместим с официалния закон етичен кодекс. Очертават се географски райони, в които криминалната активност на така формирани общности поражда опустошения като при постоянна война на изключително висока социална цена. Достигнат е праг, при който представителите на тези общности са резистентни към наказателна репресия, вкл. защото по отношение на много от тях престоят в затвора предлага битови, здравни</w:t>
      </w:r>
      <w:r>
        <w:t>, социални</w:t>
      </w:r>
      <w:r w:rsidRPr="004B4D19">
        <w:t xml:space="preserve"> и</w:t>
      </w:r>
      <w:r>
        <w:t xml:space="preserve"> други</w:t>
      </w:r>
      <w:r w:rsidRPr="004B4D19">
        <w:t xml:space="preserve"> ползи в сравнение с живота на свобода</w:t>
      </w:r>
      <w:r>
        <w:t xml:space="preserve">, т.е </w:t>
      </w:r>
      <w:r w:rsidRPr="00834530">
        <w:rPr>
          <w:b/>
        </w:rPr>
        <w:t>затворът изпълнява социални, а не репресивни функции</w:t>
      </w:r>
      <w:r w:rsidRPr="004B4D19">
        <w:t xml:space="preserve">. </w:t>
      </w:r>
    </w:p>
    <w:p w:rsidR="00F068F7" w:rsidRPr="004B4D19" w:rsidRDefault="00F068F7" w:rsidP="00F068F7">
      <w:pPr>
        <w:pStyle w:val="ListParagraph"/>
        <w:ind w:left="0" w:firstLine="708"/>
        <w:jc w:val="both"/>
      </w:pPr>
      <w:r>
        <w:lastRenderedPageBreak/>
        <w:t>Това са групи</w:t>
      </w:r>
      <w:r w:rsidR="008B2CAA" w:rsidRPr="004B4D19">
        <w:t xml:space="preserve"> с ранно отключени престъпни модели на постоянен рецидив, у които изцяло липсва самокритичност, преживявания на вина и разкаяние, емпатия и дори елементарни форми на зачитане на другите.</w:t>
      </w:r>
      <w:r>
        <w:t xml:space="preserve"> П</w:t>
      </w:r>
      <w:r w:rsidRPr="004B4D19">
        <w:t>рофил</w:t>
      </w:r>
      <w:r>
        <w:t>ът</w:t>
      </w:r>
      <w:r w:rsidRPr="004B4D19">
        <w:t xml:space="preserve"> </w:t>
      </w:r>
      <w:r>
        <w:t xml:space="preserve">е </w:t>
      </w:r>
      <w:r w:rsidRPr="004B4D19">
        <w:t xml:space="preserve">на </w:t>
      </w:r>
      <w:r w:rsidRPr="00F068F7">
        <w:t>лица, които не възприемат извършеното от тях като укоримо, считат се за жертва на несправедливо и злонамерено правосъдие</w:t>
      </w:r>
      <w:r w:rsidRPr="004B4D19">
        <w:t xml:space="preserve"> и нямат нагласи да </w:t>
      </w:r>
      <w:r>
        <w:t>се променят</w:t>
      </w:r>
      <w:r w:rsidRPr="004B4D19">
        <w:t>.</w:t>
      </w:r>
    </w:p>
    <w:p w:rsidR="008B2CAA" w:rsidRPr="004B4D19" w:rsidRDefault="008B2CAA" w:rsidP="008B2CAA">
      <w:pPr>
        <w:pStyle w:val="ListParagraph"/>
        <w:ind w:left="0" w:firstLine="708"/>
        <w:jc w:val="both"/>
      </w:pPr>
      <w:r>
        <w:t xml:space="preserve">Загриженост буди увеличението на броя случаи, в които </w:t>
      </w:r>
      <w:r w:rsidRPr="00B03D32">
        <w:rPr>
          <w:b/>
        </w:rPr>
        <w:t xml:space="preserve">престъплението носи признаци за психична патология </w:t>
      </w:r>
      <w:r>
        <w:t xml:space="preserve">на извършителя (безмотивност, садизъм, прекомерна нефункционална агресия), както и тези, в които </w:t>
      </w:r>
      <w:r w:rsidRPr="00B03D32">
        <w:rPr>
          <w:b/>
        </w:rPr>
        <w:t>пострадалите принадлежат към уязвими групи</w:t>
      </w:r>
      <w:r>
        <w:t>, на които държавата дължи засилена защита (деца, хора в късна зрялост, хора с увреждания).</w:t>
      </w:r>
    </w:p>
    <w:p w:rsidR="008B2CAA" w:rsidRPr="004B4D19" w:rsidRDefault="008B2CAA" w:rsidP="008B2CAA">
      <w:pPr>
        <w:pStyle w:val="ListParagraph"/>
        <w:ind w:left="0" w:firstLine="708"/>
        <w:jc w:val="both"/>
      </w:pPr>
      <w:r w:rsidRPr="004B4D19">
        <w:rPr>
          <w:b/>
        </w:rPr>
        <w:t>4.</w:t>
      </w:r>
      <w:r w:rsidRPr="004B4D19">
        <w:t xml:space="preserve"> Комисията настойчиво подчертава, че до това положение се стига само и единствено в резултат на криминализация </w:t>
      </w:r>
      <w:r>
        <w:t>от</w:t>
      </w:r>
      <w:r w:rsidRPr="004B4D19">
        <w:t xml:space="preserve"> детството и че </w:t>
      </w:r>
      <w:r w:rsidRPr="001F7953">
        <w:rPr>
          <w:b/>
        </w:rPr>
        <w:t xml:space="preserve">е </w:t>
      </w:r>
      <w:r w:rsidRPr="004B4D19">
        <w:rPr>
          <w:b/>
        </w:rPr>
        <w:t>необосновано, нерационално и наивно очакването дефицитите в закрилните политики спрямо деца в риск да бъдат компенсирани чрез наказателна политика срещу престъпно поведение в пълнолетна възраст</w:t>
      </w:r>
      <w:r w:rsidRPr="004B4D19">
        <w:t xml:space="preserve">. </w:t>
      </w:r>
    </w:p>
    <w:p w:rsidR="008B2CAA" w:rsidRDefault="008B2CAA" w:rsidP="008B2CAA">
      <w:pPr>
        <w:pStyle w:val="ListParagraph"/>
        <w:ind w:left="0" w:firstLine="708"/>
        <w:jc w:val="both"/>
      </w:pPr>
      <w:r>
        <w:t>Н</w:t>
      </w:r>
      <w:r w:rsidRPr="004B4D19">
        <w:t xml:space="preserve">еобходимо </w:t>
      </w:r>
      <w:r>
        <w:t xml:space="preserve">е </w:t>
      </w:r>
      <w:r w:rsidRPr="004B4D19">
        <w:t xml:space="preserve">да бъде развита </w:t>
      </w:r>
      <w:r w:rsidRPr="00834530">
        <w:rPr>
          <w:b/>
        </w:rPr>
        <w:t>цялостна и самостоятелна закрилна политика спрямо децата на лишените от свобода</w:t>
      </w:r>
      <w:r w:rsidRPr="004B4D19">
        <w:t xml:space="preserve">. Към момента </w:t>
      </w:r>
      <w:r>
        <w:t>тази група</w:t>
      </w:r>
      <w:r w:rsidRPr="004B4D19">
        <w:t xml:space="preserve"> не </w:t>
      </w:r>
      <w:r>
        <w:t>е</w:t>
      </w:r>
      <w:r w:rsidRPr="004B4D19">
        <w:t xml:space="preserve"> идентифициран</w:t>
      </w:r>
      <w:r>
        <w:t>а</w:t>
      </w:r>
      <w:r w:rsidRPr="004B4D19">
        <w:t xml:space="preserve"> като самостоятел</w:t>
      </w:r>
      <w:r>
        <w:t>на</w:t>
      </w:r>
      <w:r w:rsidRPr="004B4D19">
        <w:t xml:space="preserve"> въпреки несъмнената ѝ специфика и необходимостта от специализирана държавна реакция. Тази социална група е силно уязвима, подложена на множество и разнообразни рискове, които пряко и необратимо я увреждат в сянката на общественото внимание. Комисията е инициатор на създаването на такава политика и през август ще </w:t>
      </w:r>
      <w:r>
        <w:t xml:space="preserve">завърши анализа </w:t>
      </w:r>
      <w:r w:rsidRPr="004B4D19">
        <w:t xml:space="preserve">си върху положението на децата на осъдените, извлечени чрез </w:t>
      </w:r>
      <w:r>
        <w:t>изследване</w:t>
      </w:r>
      <w:r w:rsidRPr="004B4D19">
        <w:t xml:space="preserve"> на практиката ѝ</w:t>
      </w:r>
      <w:r w:rsidR="00692FA2">
        <w:rPr>
          <w:rStyle w:val="FootnoteReference"/>
        </w:rPr>
        <w:footnoteReference w:id="8"/>
      </w:r>
      <w:r w:rsidRPr="004B4D19">
        <w:t xml:space="preserve">. </w:t>
      </w:r>
    </w:p>
    <w:p w:rsidR="00692FA2" w:rsidRDefault="00692FA2" w:rsidP="008B2CAA">
      <w:pPr>
        <w:pStyle w:val="ListParagraph"/>
        <w:ind w:left="0" w:firstLine="708"/>
        <w:jc w:val="both"/>
      </w:pPr>
      <w:r>
        <w:t>Следва да се отбележи, че видно от профила на молителите, половината от тях имат семейство, но родителските им отговорности не препятстват престъпната им дейност.</w:t>
      </w:r>
    </w:p>
    <w:p w:rsidR="008B2CAA" w:rsidRDefault="008B2CAA" w:rsidP="008B2CAA">
      <w:pPr>
        <w:ind w:firstLine="708"/>
        <w:jc w:val="both"/>
      </w:pPr>
      <w:r w:rsidRPr="003F7E98">
        <w:rPr>
          <w:b/>
        </w:rPr>
        <w:t>5.</w:t>
      </w:r>
      <w:r w:rsidRPr="004B4D19">
        <w:t xml:space="preserve"> </w:t>
      </w:r>
      <w:r>
        <w:t>В контекста на горното се наб</w:t>
      </w:r>
      <w:r w:rsidR="00692FA2">
        <w:t>л</w:t>
      </w:r>
      <w:r>
        <w:t xml:space="preserve">юдават тенденции на растеж на </w:t>
      </w:r>
      <w:r w:rsidRPr="00B03D32">
        <w:rPr>
          <w:b/>
        </w:rPr>
        <w:t>битовата престъпност</w:t>
      </w:r>
      <w:r>
        <w:t>, ескалирането ѝ от предимно користна в користно-насилствена, увеличаването на рецидивния ѝ сегмент, прерастването ѝ от едно от средствата за набавяне на препитание в житейска стратегия за разрешаване на всякакви житейски трудности и увеличаване на дела на груповата битова престъпност. Тенденциите са обвързани и с разрушаване на традиционните семейни връзки и влошаване на качеството на живот в криминализираните райони. Факторите, които я обуславят, не подлежат на управление с наказателна репресия.</w:t>
      </w:r>
    </w:p>
    <w:p w:rsidR="008B2CAA" w:rsidRPr="004B4D19" w:rsidRDefault="008B2CAA" w:rsidP="008B2CAA">
      <w:pPr>
        <w:ind w:firstLine="708"/>
        <w:jc w:val="both"/>
      </w:pPr>
      <w:r w:rsidRPr="002A17A4">
        <w:rPr>
          <w:b/>
        </w:rPr>
        <w:t>6.</w:t>
      </w:r>
      <w:r>
        <w:t> </w:t>
      </w:r>
      <w:r w:rsidRPr="004B4D19">
        <w:t xml:space="preserve">Молителите, чието престъпно поведение е обусловено от </w:t>
      </w:r>
      <w:r w:rsidRPr="004B4D19">
        <w:rPr>
          <w:b/>
        </w:rPr>
        <w:t>наркотична зависимост</w:t>
      </w:r>
      <w:r w:rsidRPr="004B4D19">
        <w:t xml:space="preserve">, </w:t>
      </w:r>
      <w:r w:rsidRPr="004B4D19">
        <w:rPr>
          <w:b/>
        </w:rPr>
        <w:t>алкохолна мозъчна болест или психично заболяване</w:t>
      </w:r>
      <w:r w:rsidRPr="004B4D19">
        <w:t xml:space="preserve">, са затруднени самостоятелно да преодолеят това състояние. </w:t>
      </w:r>
    </w:p>
    <w:p w:rsidR="008B2CAA" w:rsidRDefault="008B2CAA" w:rsidP="008B2CAA">
      <w:pPr>
        <w:ind w:firstLine="708"/>
        <w:jc w:val="both"/>
      </w:pPr>
      <w:r w:rsidRPr="004B4D19">
        <w:rPr>
          <w:b/>
          <w:i/>
        </w:rPr>
        <w:t xml:space="preserve">Компрометираното </w:t>
      </w:r>
      <w:r w:rsidRPr="004B4D19">
        <w:rPr>
          <w:b/>
          <w:bCs/>
          <w:i/>
          <w:iCs/>
        </w:rPr>
        <w:t>психично здраве е фактор с отражение върху рецидивния риск и ефективността на корекционния процес</w:t>
      </w:r>
      <w:r w:rsidRPr="004B4D19">
        <w:t xml:space="preserve">. В системата за изпълнение на наказанията липсва еднаквост на критериите, методите и подходите към такива осъдени. </w:t>
      </w:r>
      <w:r>
        <w:t xml:space="preserve">Крайно важно е да бъде осигурен </w:t>
      </w:r>
      <w:r w:rsidRPr="00B03D32">
        <w:rPr>
          <w:b/>
          <w:i/>
        </w:rPr>
        <w:t>равен достъп до специализирани програми и терапевтични курсове</w:t>
      </w:r>
      <w:r>
        <w:t xml:space="preserve"> като елемент от обичайната практика, за да бъдат </w:t>
      </w:r>
      <w:r w:rsidR="006E6A0C">
        <w:t>о</w:t>
      </w:r>
      <w:r>
        <w:t xml:space="preserve">сигурени условия за поправяне и устойчивост на резултата. Също така е необходимо </w:t>
      </w:r>
      <w:r w:rsidRPr="00B03D32">
        <w:rPr>
          <w:b/>
          <w:i/>
        </w:rPr>
        <w:t>участието в тези програми да може да продължава при не</w:t>
      </w:r>
      <w:r w:rsidR="006E6A0C">
        <w:rPr>
          <w:b/>
          <w:i/>
        </w:rPr>
        <w:t>о</w:t>
      </w:r>
      <w:r w:rsidRPr="00B03D32">
        <w:rPr>
          <w:b/>
          <w:i/>
        </w:rPr>
        <w:t>бходимост и след освобождаването</w:t>
      </w:r>
      <w:r>
        <w:t xml:space="preserve">. Въпросът засяга и областта на социалните услуги, включително предоставяни от неправителствения сектор и следва да се </w:t>
      </w:r>
      <w:r w:rsidRPr="005E19A0">
        <w:t>обвърже с възможността на съда да възлага възпитателен и пробационен надзор над осъдения в изпитателния срок на УПО</w:t>
      </w:r>
      <w:r>
        <w:t>.</w:t>
      </w:r>
    </w:p>
    <w:p w:rsidR="008B2CAA" w:rsidRDefault="008B2CAA" w:rsidP="008B2CAA">
      <w:pPr>
        <w:ind w:firstLine="708"/>
        <w:jc w:val="both"/>
      </w:pPr>
      <w:r w:rsidRPr="005E19A0">
        <w:rPr>
          <w:b/>
        </w:rPr>
        <w:t>7. </w:t>
      </w:r>
      <w:r>
        <w:t xml:space="preserve">Особено остро стои въпросът за извършителите с компрометирано психично или телесно здраве, които </w:t>
      </w:r>
      <w:r w:rsidRPr="008A68BE">
        <w:rPr>
          <w:b/>
        </w:rPr>
        <w:t>в условия на свобода нямат достъп до подходяща здравна и терапевтична помощ или не са мотивирани да я търсят</w:t>
      </w:r>
      <w:r>
        <w:t>, а тя е от значение за риска да рецидивират. Най-често те не са здравноосигурени на свобода, нямат здравни навици и живеят в среда, некритична към състоянието им. Необходимо е да се осигури тяхното включване в системата на здравеопазването като форма на предотв</w:t>
      </w:r>
      <w:r w:rsidR="00570225">
        <w:t>р</w:t>
      </w:r>
      <w:r>
        <w:t>атяване на рецидива им.</w:t>
      </w:r>
    </w:p>
    <w:p w:rsidR="008B2CAA" w:rsidRDefault="008B2CAA" w:rsidP="008B2CAA">
      <w:pPr>
        <w:ind w:firstLine="708"/>
        <w:jc w:val="both"/>
      </w:pPr>
      <w:r w:rsidRPr="008A68BE">
        <w:rPr>
          <w:b/>
        </w:rPr>
        <w:lastRenderedPageBreak/>
        <w:t>8.</w:t>
      </w:r>
      <w:r>
        <w:t xml:space="preserve"> Загриженост буди големият дял тежки битови насилствени престъпления, извършени под влияние на </w:t>
      </w:r>
      <w:r w:rsidRPr="003F24AD">
        <w:rPr>
          <w:b/>
        </w:rPr>
        <w:t>алкохол</w:t>
      </w:r>
      <w:r>
        <w:t xml:space="preserve"> (близо 90%). Алкохолната употреба е един от най-често срещаните отключващи престъплението фактори при висока обществена и институционална толерантност към проблема, който все повече засяга млади извършители</w:t>
      </w:r>
      <w:r>
        <w:rPr>
          <w:lang w:val="en-US"/>
        </w:rPr>
        <w:t xml:space="preserve">, </w:t>
      </w:r>
      <w:r>
        <w:t>но обуславя и тежки посегателства в късна възраст.</w:t>
      </w:r>
    </w:p>
    <w:p w:rsidR="008B2CAA" w:rsidRPr="00FA7F44" w:rsidRDefault="008B2CAA" w:rsidP="008B2CAA">
      <w:pPr>
        <w:ind w:firstLine="708"/>
        <w:jc w:val="both"/>
        <w:rPr>
          <w:lang w:val="en-US"/>
        </w:rPr>
      </w:pPr>
      <w:r w:rsidRPr="00FA7F44">
        <w:rPr>
          <w:b/>
        </w:rPr>
        <w:t>9.</w:t>
      </w:r>
      <w:r>
        <w:t> </w:t>
      </w:r>
      <w:r w:rsidRPr="00FA7F44">
        <w:t xml:space="preserve">Анализът на практиката на Комисията показва, че </w:t>
      </w:r>
      <w:r w:rsidRPr="00FA7F44">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за поправянето на осъдените и връщането им в обществото като пълноценни граждани </w:t>
      </w:r>
      <w:r>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усилията на затворите не са достатъчни. </w:t>
      </w:r>
      <w:r w:rsidRPr="00570225">
        <w:rPr>
          <w: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Решаваща роля има подкрепата на близки хора</w:t>
      </w:r>
      <w:r>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с които осъденият свързва перспективите си на свобода</w:t>
      </w:r>
      <w:r w:rsidRPr="00FA7F44">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w:t>
      </w:r>
      <w:r w:rsidRPr="00FA7F44">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олителите, в чието поправяне КП се е убедила, са го направили заради някого. </w:t>
      </w:r>
      <w:r>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Обратно, не</w:t>
      </w:r>
      <w:r w:rsidRPr="00FA7F44">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поправ</w:t>
      </w:r>
      <w:r>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янето</w:t>
      </w:r>
      <w:r w:rsidRPr="00FA7F44">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е </w:t>
      </w:r>
      <w:r>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в голяма степен </w:t>
      </w:r>
      <w:r w:rsidRPr="00FA7F44">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последица от загубата на социалната свързаност</w:t>
      </w:r>
      <w:r>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570225">
        <w:rP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Поради това е от значение не само осъдените, но и техните семейства да бъдат подкрепяни в усилията им да съхранят семейните връзки и осигурят житейски перспективи на осъдения.</w:t>
      </w:r>
    </w:p>
    <w:p w:rsidR="008B2CAA" w:rsidRDefault="008B2CAA" w:rsidP="008B2CAA">
      <w:pPr>
        <w:pStyle w:val="ListParagraph"/>
        <w:ind w:left="0" w:firstLine="708"/>
        <w:jc w:val="both"/>
        <w:rPr>
          <w:b/>
        </w:rPr>
      </w:pPr>
    </w:p>
    <w:p w:rsidR="008B2CAA" w:rsidRPr="004B4D19" w:rsidRDefault="008B2CAA" w:rsidP="008B2CAA">
      <w:pPr>
        <w:pStyle w:val="ListParagraph"/>
        <w:ind w:left="0" w:firstLine="708"/>
        <w:jc w:val="both"/>
        <w:rPr>
          <w:b/>
        </w:rPr>
      </w:pPr>
      <w:r>
        <w:rPr>
          <w:b/>
          <w:lang w:val="en-US"/>
        </w:rPr>
        <w:t>I</w:t>
      </w:r>
      <w:r w:rsidRPr="004B4D19">
        <w:rPr>
          <w:b/>
          <w:lang w:val="en-US"/>
        </w:rPr>
        <w:t>I. </w:t>
      </w:r>
      <w:r w:rsidRPr="004B4D19">
        <w:rPr>
          <w:b/>
        </w:rPr>
        <w:t>Законодателни политики</w:t>
      </w:r>
    </w:p>
    <w:p w:rsidR="008B2CAA" w:rsidRDefault="008B2CAA" w:rsidP="008B2CAA">
      <w:pPr>
        <w:pStyle w:val="Default"/>
        <w:ind w:firstLine="708"/>
        <w:jc w:val="both"/>
        <w:rPr>
          <w:rFonts w:ascii="Times New Roman" w:hAnsi="Times New Roman" w:cs="Times New Roman"/>
        </w:rPr>
      </w:pPr>
      <w:r w:rsidRPr="00E14A24">
        <w:rPr>
          <w:rFonts w:ascii="Times New Roman" w:hAnsi="Times New Roman" w:cs="Times New Roman"/>
          <w:b/>
        </w:rPr>
        <w:t xml:space="preserve">1. </w:t>
      </w:r>
      <w:r w:rsidRPr="004B4D19">
        <w:rPr>
          <w:rFonts w:ascii="Times New Roman" w:hAnsi="Times New Roman" w:cs="Times New Roman"/>
        </w:rPr>
        <w:t xml:space="preserve">Действащият наказателен закон се нуждае от осъвременяване. Необходимо е от него да </w:t>
      </w:r>
      <w:r w:rsidRPr="004B4D19">
        <w:rPr>
          <w:rFonts w:ascii="Times New Roman" w:hAnsi="Times New Roman" w:cs="Times New Roman"/>
          <w:b/>
        </w:rPr>
        <w:t>отпадне архаичното наказание ,,лишаване от права завинаги“, предвидено като единствено възможно и задължително за налагане</w:t>
      </w:r>
      <w:r>
        <w:rPr>
          <w:rFonts w:ascii="Times New Roman" w:hAnsi="Times New Roman" w:cs="Times New Roman"/>
          <w:b/>
        </w:rPr>
        <w:t xml:space="preserve"> през 1986 г. </w:t>
      </w:r>
      <w:r w:rsidRPr="004B4D19">
        <w:rPr>
          <w:rFonts w:ascii="Times New Roman" w:hAnsi="Times New Roman" w:cs="Times New Roman"/>
        </w:rPr>
        <w:t>(чл. 342, ал.4). То противоречи на принципите за индивидуализация и пропорционалност на наказанието и не е предвидено като вид наказание в Общата част на НК (чл. 37);</w:t>
      </w:r>
    </w:p>
    <w:p w:rsidR="008B2CAA" w:rsidRPr="004B4D19" w:rsidRDefault="008B2CAA" w:rsidP="008B2CAA">
      <w:pPr>
        <w:ind w:firstLine="708"/>
        <w:jc w:val="both"/>
      </w:pPr>
      <w:r>
        <w:rPr>
          <w:b/>
        </w:rPr>
        <w:t>2</w:t>
      </w:r>
      <w:r w:rsidRPr="00E14A24">
        <w:rPr>
          <w:b/>
        </w:rPr>
        <w:t>. </w:t>
      </w:r>
      <w:r w:rsidRPr="004B4D19">
        <w:t xml:space="preserve">През полугодието бе констатиран </w:t>
      </w:r>
      <w:r>
        <w:t>ръст на</w:t>
      </w:r>
      <w:r w:rsidRPr="004B4D19">
        <w:t xml:space="preserve"> молбите от осъдени за престъпления, свързани с </w:t>
      </w:r>
      <w:r>
        <w:rPr>
          <w:b/>
        </w:rPr>
        <w:t>употреба на ПАВ</w:t>
      </w:r>
      <w:r w:rsidRPr="004B4D19">
        <w:t xml:space="preserve"> – дилърство</w:t>
      </w:r>
      <w:r>
        <w:t xml:space="preserve"> на наркотици</w:t>
      </w:r>
      <w:r w:rsidRPr="004B4D19">
        <w:t xml:space="preserve">, шофиране след употреба на </w:t>
      </w:r>
      <w:r>
        <w:t xml:space="preserve">алкохол и </w:t>
      </w:r>
      <w:r w:rsidRPr="004B4D19">
        <w:t>наркотици, кражби от употребяващи наркотици лица. Тези молители са относително млади – под 30-годишна възраст. Престъпната им кариера започва в непълнолетие, най-често с кражби. Повечето от тях рано са прекъснали образованието си.</w:t>
      </w:r>
      <w:r>
        <w:t xml:space="preserve"> </w:t>
      </w:r>
      <w:r w:rsidRPr="004B4D19">
        <w:t>Три са откроените групи нарушители. Първо, употребяващи наркотици, които се занимават с кражби, дилърство и други престъпления с цел набавяне на наркотици за лична употреба. Второ, рискови шофьори, употребили наркотик</w:t>
      </w:r>
      <w:r>
        <w:t xml:space="preserve"> или алкохол</w:t>
      </w:r>
      <w:r w:rsidRPr="004B4D19">
        <w:t xml:space="preserve">. Трето, дилъри, които лично не употребяват наркотици, но се издържат от тяхното разпространение. Първата група е най-многобройна, а третата – най-малобройна. Втората най-бързо нараства, особено след законовата промяна, избягваща условно наказание за шофиране след употреба на </w:t>
      </w:r>
      <w:r>
        <w:t>ПАВ</w:t>
      </w:r>
      <w:r w:rsidRPr="004B4D19">
        <w:t>.</w:t>
      </w:r>
      <w:r>
        <w:t xml:space="preserve"> </w:t>
      </w:r>
      <w:r w:rsidRPr="004B4D19">
        <w:t xml:space="preserve">Наказанията </w:t>
      </w:r>
      <w:r>
        <w:t>са</w:t>
      </w:r>
      <w:r w:rsidRPr="004B4D19">
        <w:t xml:space="preserve"> от по няколко месеца затвор</w:t>
      </w:r>
      <w:r>
        <w:t xml:space="preserve"> (</w:t>
      </w:r>
      <w:r w:rsidRPr="004B4D19">
        <w:t>особено при първо престъпление</w:t>
      </w:r>
      <w:r>
        <w:t>)</w:t>
      </w:r>
      <w:r w:rsidRPr="004B4D19">
        <w:t xml:space="preserve"> до малко над 4 години.</w:t>
      </w:r>
    </w:p>
    <w:p w:rsidR="008B2CAA" w:rsidRDefault="008B2CAA" w:rsidP="008B2CAA">
      <w:pPr>
        <w:ind w:firstLine="708"/>
        <w:jc w:val="both"/>
      </w:pPr>
      <w:r>
        <w:t>Т</w:t>
      </w:r>
      <w:r w:rsidRPr="004B4D19">
        <w:t xml:space="preserve">ози вид наказване </w:t>
      </w:r>
      <w:r>
        <w:t xml:space="preserve">не </w:t>
      </w:r>
      <w:r w:rsidRPr="004B4D19">
        <w:t xml:space="preserve">е </w:t>
      </w:r>
      <w:r>
        <w:t xml:space="preserve">напълно </w:t>
      </w:r>
      <w:r w:rsidRPr="004B4D19">
        <w:t>подходящ за описаните групи нарушители. При упорити нарушители кратките наказания не постигат трайна промяна на нагласите. При употребяващите наркотици изолацията в затвор може да задълбочи проблемите, тласнали ги към престъплението. При тях престъпната дейност се дължи на личностови проблеми, усложнения на семейната среда и затруднено социално вграждане. Подходящи средства за преодоляването ѝ са различни програми в рамките на наказанието пробация.</w:t>
      </w:r>
      <w:r>
        <w:t xml:space="preserve"> Казаното важи и за някои категории шофиращи в нетрезво състояние. Препоръчва се законодателят да разшири възможностите на съда да индивидуализира наказанието, като разнообрази избора на видове наказания и възстанови приложимостта на условното осъждане, в чийто изпитателен срок са приложими под</w:t>
      </w:r>
      <w:r w:rsidR="00570225">
        <w:t>х</w:t>
      </w:r>
      <w:r>
        <w:t>одящи мерки за пробационен надзор.</w:t>
      </w:r>
      <w:r w:rsidRPr="004B4D19">
        <w:t xml:space="preserve"> </w:t>
      </w:r>
    </w:p>
    <w:p w:rsidR="008B2CAA" w:rsidRDefault="008B2CAA" w:rsidP="008B2CAA">
      <w:pPr>
        <w:ind w:firstLine="708"/>
        <w:jc w:val="both"/>
      </w:pPr>
      <w:r w:rsidRPr="000C4356">
        <w:rPr>
          <w:b/>
        </w:rPr>
        <w:t>3.</w:t>
      </w:r>
      <w:r>
        <w:t xml:space="preserve"> При приемане на чуждестранни присъди за изпълнение у нас </w:t>
      </w:r>
      <w:r w:rsidR="00570225">
        <w:rPr>
          <w:b/>
        </w:rPr>
        <w:t>практиките</w:t>
      </w:r>
      <w:r w:rsidRPr="000C4356">
        <w:rPr>
          <w:b/>
        </w:rPr>
        <w:t xml:space="preserve"> </w:t>
      </w:r>
      <w:r w:rsidR="00570225">
        <w:rPr>
          <w:b/>
        </w:rPr>
        <w:t>по изпълнение</w:t>
      </w:r>
      <w:r w:rsidRPr="000C4356">
        <w:rPr>
          <w:b/>
        </w:rPr>
        <w:t xml:space="preserve"> на наказанието не отчитат обстоятелството, че част от </w:t>
      </w:r>
      <w:r w:rsidR="00570225">
        <w:rPr>
          <w:b/>
        </w:rPr>
        <w:t>него</w:t>
      </w:r>
      <w:r w:rsidRPr="000C4356">
        <w:rPr>
          <w:b/>
        </w:rPr>
        <w:t xml:space="preserve"> може вече да е изтърпяно</w:t>
      </w:r>
      <w:r>
        <w:t xml:space="preserve">. Това обстоятелство не може да бъде съобразено при прилагане на прогресивната система за изтърпяване на наказанието. Например, осъденият е задължен да изтърпи определена част от наказанието си при първоначално определения му режим, която се изчислява като времетраене на изтърпяното само у нас наказание. Това пречи на такива осъдени да се ползват от редица облекчения, за които е от формално значение срокът на изтърпяното наказание, дори когато са налице всички материални предпоставки за облекчението (добро поведение, корекционни постижения и др.). Така те биват поставени </w:t>
      </w:r>
      <w:r w:rsidRPr="000C4356">
        <w:rPr>
          <w:b/>
          <w:i/>
        </w:rPr>
        <w:t>в по-неблагоприятно правно положение пред наказателноизпълнителния закон</w:t>
      </w:r>
      <w:r>
        <w:t xml:space="preserve"> спрямо осъдени, които изтърпяват същите по продължителност наказания за същите по вид престъпления, но са започнали да ги търпят у нас. Необходимо е да се предприемат законодателни </w:t>
      </w:r>
      <w:r>
        <w:lastRenderedPageBreak/>
        <w:t>мерки за разширяване на правата на съда и наказателноизпълнителните органи за по-ранна промяна на режима в такива случаи.</w:t>
      </w:r>
    </w:p>
    <w:p w:rsidR="008B2CAA" w:rsidRPr="004B4D19" w:rsidRDefault="008B2CAA" w:rsidP="008B2CAA">
      <w:pPr>
        <w:pStyle w:val="Default"/>
        <w:ind w:firstLine="708"/>
        <w:jc w:val="both"/>
        <w:rPr>
          <w:rFonts w:ascii="Times New Roman" w:hAnsi="Times New Roman" w:cs="Times New Roman"/>
        </w:rPr>
      </w:pPr>
    </w:p>
    <w:p w:rsidR="008B2CAA" w:rsidRPr="004B4D19" w:rsidRDefault="008B2CAA" w:rsidP="008B2CAA">
      <w:pPr>
        <w:pStyle w:val="ListParagraph"/>
        <w:ind w:left="0" w:firstLine="708"/>
        <w:jc w:val="both"/>
        <w:rPr>
          <w:b/>
        </w:rPr>
      </w:pPr>
      <w:r w:rsidRPr="004B4D19">
        <w:rPr>
          <w:b/>
          <w:lang w:val="en-US"/>
        </w:rPr>
        <w:t>I</w:t>
      </w:r>
      <w:r>
        <w:rPr>
          <w:b/>
          <w:lang w:val="en-US"/>
        </w:rPr>
        <w:t>I</w:t>
      </w:r>
      <w:r w:rsidRPr="004B4D19">
        <w:rPr>
          <w:b/>
          <w:lang w:val="en-US"/>
        </w:rPr>
        <w:t>I</w:t>
      </w:r>
      <w:r w:rsidRPr="004B4D19">
        <w:rPr>
          <w:b/>
        </w:rPr>
        <w:t>. Политики на изпълнителната власт по изпълнение на наказанията и управление на факторите на престъпността</w:t>
      </w:r>
    </w:p>
    <w:p w:rsidR="008B2CAA" w:rsidRPr="004B4D19" w:rsidRDefault="008B2CAA" w:rsidP="008B2CAA">
      <w:pPr>
        <w:pStyle w:val="ListParagraph"/>
        <w:ind w:left="0" w:firstLine="708"/>
        <w:jc w:val="both"/>
      </w:pPr>
      <w:r>
        <w:t>Обществената взискателност към системата за изпълнение на наказанията е сходна с тази към съдебната власт, поради което тази система принадлежи и към правосъдния сектор в широк смисъл. Характерно за него е очакването за безукорност, тъй като той гарантира спазването на правилата и корекцията на нарушителите. П</w:t>
      </w:r>
      <w:r w:rsidRPr="004B4D19">
        <w:t>роцес на превъзпитание в спазване на правилата не може да се провежда в условия на закононарушения и корупция</w:t>
      </w:r>
      <w:r>
        <w:t>, поради което дори малки отклонения или изключения от принципите за почтеност, добросъвестност и законност на държавните служители създава недоверие в цялата система и компрометира резултатите от дейността ѝ.</w:t>
      </w:r>
    </w:p>
    <w:p w:rsidR="008B2CAA" w:rsidRPr="004B4D19" w:rsidRDefault="008B2CAA" w:rsidP="008B2CAA">
      <w:pPr>
        <w:pStyle w:val="ListParagraph"/>
        <w:ind w:left="0" w:firstLine="708"/>
        <w:jc w:val="both"/>
      </w:pPr>
      <w:r>
        <w:rPr>
          <w:b/>
        </w:rPr>
        <w:t>1</w:t>
      </w:r>
      <w:r w:rsidRPr="004B4D19">
        <w:rPr>
          <w:b/>
        </w:rPr>
        <w:t>.</w:t>
      </w:r>
      <w:r w:rsidRPr="004B4D19">
        <w:t xml:space="preserve"> </w:t>
      </w:r>
      <w:r w:rsidRPr="004B4D19">
        <w:rPr>
          <w:b/>
        </w:rPr>
        <w:t>Системата за изпълнение на наказанията все повече се нуждае от приоритетна подкрепа, за да възобнови реформирането си</w:t>
      </w:r>
      <w:r w:rsidRPr="004B4D19">
        <w:t xml:space="preserve">. </w:t>
      </w:r>
      <w:r>
        <w:t>Първо, необходимо</w:t>
      </w:r>
      <w:r w:rsidRPr="004B4D19">
        <w:t xml:space="preserve"> </w:t>
      </w:r>
      <w:r>
        <w:t>е корекционните усилия на затворите да се подкрепят с</w:t>
      </w:r>
      <w:r w:rsidRPr="004B4D19">
        <w:t xml:space="preserve"> превантивни и ресоциализационни политики извън </w:t>
      </w:r>
      <w:r>
        <w:t>затворите. Второ,</w:t>
      </w:r>
      <w:r w:rsidRPr="004B4D19">
        <w:t xml:space="preserve"> </w:t>
      </w:r>
      <w:r>
        <w:t>необходими са</w:t>
      </w:r>
      <w:r w:rsidRPr="004B4D19">
        <w:t xml:space="preserve"> условия за системно професионално общуване между </w:t>
      </w:r>
      <w:r>
        <w:t>служителите</w:t>
      </w:r>
      <w:r w:rsidRPr="004B4D19">
        <w:t xml:space="preserve"> и за тяхното продължаващо обучение</w:t>
      </w:r>
      <w:r>
        <w:t>, както и специални мерки за повишаване на тяхната мотивация, интегритет и престижност на професията</w:t>
      </w:r>
      <w:r w:rsidRPr="004B4D19">
        <w:t>. Пренебрегването на реформените потребности на системата за изпълнение на наказанията Комисията свързва с</w:t>
      </w:r>
      <w:r>
        <w:t>ъс следните</w:t>
      </w:r>
      <w:r w:rsidRPr="004B4D19">
        <w:t xml:space="preserve"> </w:t>
      </w:r>
      <w:r>
        <w:t>трани тенденции след</w:t>
      </w:r>
      <w:r w:rsidRPr="004B4D19">
        <w:t xml:space="preserve"> 2015 г.: забавяне на справките от затворите и влошаване на тяхната информативност и качество, чувствителен ръст на изразявани от молители оплаквания от корупционен натиск, толерантност към насилие и тормоз между осъдените, неспазване на техни права, неравнопоставено третиране</w:t>
      </w:r>
      <w:r>
        <w:t>, заплахи за здравето и живота им, умишлено влошаване на дисциплинарния статус на осъдени, на които предстоят процедури по УПО</w:t>
      </w:r>
      <w:r w:rsidRPr="004B4D19">
        <w:t xml:space="preserve"> и др., </w:t>
      </w:r>
      <w:r>
        <w:t xml:space="preserve">слаба реформена инициативност </w:t>
      </w:r>
      <w:r w:rsidRPr="004B4D19">
        <w:t xml:space="preserve">на управляващите </w:t>
      </w:r>
      <w:r>
        <w:t xml:space="preserve">върха на </w:t>
      </w:r>
      <w:r w:rsidRPr="004B4D19">
        <w:t>системата лица, демотивация на редовите служители и др. ГДИН продължава да няма титулярен главен директор</w:t>
      </w:r>
      <w:r>
        <w:t>, който да поеме инициативата и отговорността за реформата</w:t>
      </w:r>
      <w:r w:rsidRPr="004B4D19">
        <w:t>.</w:t>
      </w:r>
    </w:p>
    <w:p w:rsidR="008B2CAA" w:rsidRPr="004B4D19" w:rsidRDefault="008B2CAA" w:rsidP="008B2CAA">
      <w:pPr>
        <w:pStyle w:val="ListParagraph"/>
        <w:ind w:left="0" w:firstLine="708"/>
        <w:jc w:val="both"/>
      </w:pPr>
      <w:r w:rsidRPr="004B4D19">
        <w:t>Затворите, които концентрират най-силно негативно внимание, са София</w:t>
      </w:r>
      <w:r w:rsidRPr="004B4D19">
        <w:rPr>
          <w:rStyle w:val="FootnoteReference"/>
        </w:rPr>
        <w:footnoteReference w:id="9"/>
      </w:r>
      <w:r w:rsidRPr="004B4D19">
        <w:t xml:space="preserve">, Бургас и Варна, следвани от Враца и Белене. </w:t>
      </w:r>
    </w:p>
    <w:p w:rsidR="008B2CAA" w:rsidRPr="004B4D19" w:rsidRDefault="008B2CAA" w:rsidP="008B2CAA">
      <w:pPr>
        <w:pStyle w:val="ListParagraph"/>
        <w:ind w:left="0" w:firstLine="708"/>
        <w:jc w:val="both"/>
      </w:pPr>
      <w:r w:rsidRPr="004B4D19">
        <w:t xml:space="preserve">И през 2017 г. продължи практиката </w:t>
      </w:r>
      <w:r>
        <w:t xml:space="preserve">времето на положения </w:t>
      </w:r>
      <w:r w:rsidRPr="004B4D19">
        <w:t xml:space="preserve">труд (брой работни дни) </w:t>
      </w:r>
      <w:r>
        <w:t>от</w:t>
      </w:r>
      <w:r w:rsidRPr="004B4D19">
        <w:t xml:space="preserve"> осъдените на доживотен затвор и доживотен затвор без замяна да се приспада от срока на изтърпяното наказание, въпреки изричната забрана за това от разпоредбата на чл. 38а, ал.4 от НК. Комисията многократно сигнализира ГДИН и затворните администрации за необходимостта от </w:t>
      </w:r>
      <w:r>
        <w:t>спазване на закона и рисковете от неговото нарушаване</w:t>
      </w:r>
      <w:r w:rsidRPr="004B4D19">
        <w:t xml:space="preserve">. Едва при проведените срещи с екипите на затворите във Враца, Бобов дол, </w:t>
      </w:r>
      <w:r>
        <w:t xml:space="preserve">Бургас, </w:t>
      </w:r>
      <w:r w:rsidRPr="004B4D19">
        <w:t>Пазарджик и Пловдив бе постигнат</w:t>
      </w:r>
      <w:r>
        <w:t>о разбиране</w:t>
      </w:r>
      <w:r w:rsidRPr="004B4D19">
        <w:t xml:space="preserve"> </w:t>
      </w:r>
      <w:r>
        <w:t xml:space="preserve">и </w:t>
      </w:r>
      <w:r w:rsidRPr="004B4D19">
        <w:t>съгласие.</w:t>
      </w:r>
    </w:p>
    <w:p w:rsidR="008B2CAA" w:rsidRDefault="008B2CAA" w:rsidP="008B2CAA">
      <w:pPr>
        <w:pStyle w:val="ListParagraph"/>
        <w:ind w:left="0" w:firstLine="708"/>
        <w:jc w:val="both"/>
      </w:pPr>
      <w:r w:rsidRPr="004B4D19">
        <w:t xml:space="preserve">Всичко посочено създава тревожна несигурност в </w:t>
      </w:r>
      <w:r>
        <w:t>способността</w:t>
      </w:r>
      <w:r w:rsidRPr="004B4D19">
        <w:t xml:space="preserve"> на затвор</w:t>
      </w:r>
      <w:r>
        <w:t>ите</w:t>
      </w:r>
      <w:r w:rsidRPr="004B4D19">
        <w:t xml:space="preserve"> да провеждат еднакви по стандарт ефективни корекционни дейности в условия на доверие и сътрудничество от страна на осъдените, както и да предоставят обективна, своевременна и изчерпателна информация за осъдения на институциите, които се нуждаят от нея – съд, прокуратура, държавен глава и др. Разликите в качеството на функциониране на различните затвори сами по себе си са корупционен фактор.</w:t>
      </w:r>
    </w:p>
    <w:p w:rsidR="008B2CAA" w:rsidRPr="004B4D19" w:rsidRDefault="008B2CAA" w:rsidP="008B2CAA">
      <w:pPr>
        <w:pStyle w:val="ListParagraph"/>
        <w:ind w:left="0" w:firstLine="708"/>
        <w:jc w:val="both"/>
      </w:pPr>
      <w:r>
        <w:rPr>
          <w:b/>
        </w:rPr>
        <w:t>2</w:t>
      </w:r>
      <w:r w:rsidRPr="004B4D19">
        <w:rPr>
          <w:b/>
        </w:rPr>
        <w:t>.</w:t>
      </w:r>
      <w:r w:rsidRPr="004B4D19">
        <w:t> </w:t>
      </w:r>
      <w:r>
        <w:t>Следва да се</w:t>
      </w:r>
      <w:r w:rsidRPr="004B4D19">
        <w:t xml:space="preserve"> </w:t>
      </w:r>
      <w:r w:rsidRPr="004B4D19">
        <w:rPr>
          <w:b/>
        </w:rPr>
        <w:t>преразгледа практиката на недопускане на изтърпяващите доживотен затвор и доживотен затвор без замяна граждани до участие в изборния процес</w:t>
      </w:r>
      <w:r w:rsidRPr="004B4D19">
        <w:t xml:space="preserve"> в светлината на решение</w:t>
      </w:r>
      <w:r>
        <w:t>то на ЕСПЧ</w:t>
      </w:r>
      <w:r w:rsidRPr="004B4D19">
        <w:t xml:space="preserve"> по делото ,,Кулински и Събев срещу България“ от 21.07.2016 г. С това решение България е осъдена за допуснато нарушение на човешките права на тези граждани, които действащата Конституция не </w:t>
      </w:r>
      <w:r>
        <w:t>лишава</w:t>
      </w:r>
      <w:r w:rsidRPr="004B4D19">
        <w:t xml:space="preserve"> от избирателни права. В тази връзка </w:t>
      </w:r>
      <w:r>
        <w:t>е важно</w:t>
      </w:r>
      <w:r w:rsidRPr="004B4D19">
        <w:t xml:space="preserve"> да се преразгледа и рационалността на правното решение по чл. 41 от Конституцията, което създава пречки пред </w:t>
      </w:r>
      <w:r w:rsidRPr="004B4D19">
        <w:lastRenderedPageBreak/>
        <w:t>лишените от свобода да гласуват. Изключването по принцип на осъдени лица от демократичния процес</w:t>
      </w:r>
      <w:r>
        <w:t xml:space="preserve"> (особено при положение, че те като група не могат решително да повияят</w:t>
      </w:r>
      <w:r w:rsidRPr="004B4D19">
        <w:t xml:space="preserve"> на крайните резулати</w:t>
      </w:r>
      <w:r>
        <w:t>)</w:t>
      </w:r>
      <w:r w:rsidRPr="004B4D19">
        <w:t xml:space="preserve"> </w:t>
      </w:r>
      <w:r>
        <w:t>винаги</w:t>
      </w:r>
      <w:r w:rsidRPr="004B4D19">
        <w:t xml:space="preserve"> </w:t>
      </w:r>
      <w:r>
        <w:t>пречи на</w:t>
      </w:r>
      <w:r w:rsidRPr="004B4D19">
        <w:t xml:space="preserve"> ресоциализацията им, без да постига значима за обществото цел.</w:t>
      </w:r>
    </w:p>
    <w:p w:rsidR="008B2CAA" w:rsidRDefault="008B2CAA" w:rsidP="008B2CAA">
      <w:pPr>
        <w:pStyle w:val="ListParagraph"/>
        <w:ind w:left="0" w:firstLine="708"/>
        <w:jc w:val="both"/>
      </w:pPr>
      <w:r>
        <w:rPr>
          <w:b/>
        </w:rPr>
        <w:t>3</w:t>
      </w:r>
      <w:r w:rsidRPr="001F7953">
        <w:rPr>
          <w:b/>
        </w:rPr>
        <w:t>.</w:t>
      </w:r>
      <w:r w:rsidRPr="004B4D19">
        <w:t xml:space="preserve"> Необходимо е да се </w:t>
      </w:r>
      <w:r w:rsidRPr="004B4D19">
        <w:rPr>
          <w:b/>
        </w:rPr>
        <w:t>повиши мотивацията на осъдените да изплащат обезщетенията, на които са осъдени по граждански път</w:t>
      </w:r>
      <w:r w:rsidRPr="004B4D19">
        <w:t>. Комисията констатира трайна неинформираност и на осъдени</w:t>
      </w:r>
      <w:r>
        <w:t>те</w:t>
      </w:r>
      <w:r w:rsidRPr="004B4D19">
        <w:t xml:space="preserve">, и на пострадалите за начините за плащане. </w:t>
      </w:r>
      <w:r>
        <w:t>Н</w:t>
      </w:r>
      <w:r w:rsidRPr="004B4D19">
        <w:t xml:space="preserve">астойчивостта на Комисията </w:t>
      </w:r>
      <w:r>
        <w:t xml:space="preserve">допринесе </w:t>
      </w:r>
      <w:r w:rsidRPr="004B4D19">
        <w:t xml:space="preserve">затворите постепенно да повишат чувствителността си и да отнасят </w:t>
      </w:r>
      <w:r>
        <w:t xml:space="preserve">обсужването на иска </w:t>
      </w:r>
      <w:r w:rsidRPr="004B4D19">
        <w:t xml:space="preserve">към корекционната работа със затворниците. </w:t>
      </w:r>
      <w:r>
        <w:t>В</w:t>
      </w:r>
      <w:r w:rsidRPr="004B4D19">
        <w:t xml:space="preserve">се повече съдилища </w:t>
      </w:r>
      <w:r>
        <w:t>го</w:t>
      </w:r>
      <w:r w:rsidRPr="004B4D19">
        <w:t xml:space="preserve"> съобразяват при условно предсрочно освобождаване</w:t>
      </w:r>
      <w:r>
        <w:rPr>
          <w:rStyle w:val="FootnoteReference"/>
        </w:rPr>
        <w:footnoteReference w:id="10"/>
      </w:r>
      <w:r>
        <w:t>.</w:t>
      </w:r>
      <w:r w:rsidRPr="004B4D19">
        <w:t xml:space="preserve"> Комисията счита постигнатото за недостатъчно. Необходимо е </w:t>
      </w:r>
      <w:r w:rsidRPr="001F7953">
        <w:rPr>
          <w:i/>
        </w:rPr>
        <w:t>мотивацията и усилията</w:t>
      </w:r>
      <w:r w:rsidRPr="004B4D19">
        <w:t xml:space="preserve"> за изплащане на исковете </w:t>
      </w:r>
      <w:r>
        <w:t>да се обвържат</w:t>
      </w:r>
      <w:r w:rsidRPr="004B4D19">
        <w:t xml:space="preserve"> с показателите за поправяне на осъдения и </w:t>
      </w:r>
      <w:r>
        <w:t>да</w:t>
      </w:r>
      <w:r w:rsidRPr="004B4D19">
        <w:t xml:space="preserve"> се отчита при оценката на корекционния процес и постигането на целите на наказанието. </w:t>
      </w:r>
    </w:p>
    <w:p w:rsidR="008B2CAA" w:rsidRPr="004B4D19" w:rsidRDefault="008B2CAA" w:rsidP="008B2CAA">
      <w:pPr>
        <w:pStyle w:val="ListParagraph"/>
        <w:ind w:left="0" w:firstLine="708"/>
        <w:jc w:val="both"/>
        <w:rPr>
          <w:b/>
        </w:rPr>
      </w:pPr>
    </w:p>
    <w:p w:rsidR="008B2CAA" w:rsidRPr="004B4D19" w:rsidRDefault="008B2CAA" w:rsidP="008B2CAA">
      <w:pPr>
        <w:pStyle w:val="Default"/>
        <w:ind w:firstLine="708"/>
        <w:rPr>
          <w:rFonts w:ascii="Times New Roman" w:hAnsi="Times New Roman" w:cs="Times New Roman"/>
        </w:rPr>
      </w:pPr>
      <w:r w:rsidRPr="004B4D19">
        <w:rPr>
          <w:rFonts w:ascii="Times New Roman" w:hAnsi="Times New Roman" w:cs="Times New Roman"/>
          <w:b/>
          <w:bCs/>
        </w:rPr>
        <w:t>I</w:t>
      </w:r>
      <w:r>
        <w:rPr>
          <w:rFonts w:ascii="Times New Roman" w:hAnsi="Times New Roman" w:cs="Times New Roman"/>
          <w:b/>
          <w:bCs/>
          <w:lang w:val="en-US"/>
        </w:rPr>
        <w:t>V</w:t>
      </w:r>
      <w:r w:rsidRPr="004B4D19">
        <w:rPr>
          <w:rFonts w:ascii="Times New Roman" w:hAnsi="Times New Roman" w:cs="Times New Roman"/>
          <w:b/>
          <w:bCs/>
        </w:rPr>
        <w:t>. Относн</w:t>
      </w:r>
      <w:r>
        <w:rPr>
          <w:rFonts w:ascii="Times New Roman" w:hAnsi="Times New Roman" w:cs="Times New Roman"/>
          <w:b/>
          <w:bCs/>
        </w:rPr>
        <w:t>о дейността на съдебната власт:</w:t>
      </w:r>
    </w:p>
    <w:p w:rsidR="008B2CAA" w:rsidRPr="004B4D19" w:rsidRDefault="008B2CAA" w:rsidP="008B2CAA">
      <w:pPr>
        <w:pStyle w:val="Default"/>
        <w:ind w:firstLine="708"/>
        <w:jc w:val="both"/>
        <w:rPr>
          <w:rFonts w:ascii="Times New Roman" w:hAnsi="Times New Roman" w:cs="Times New Roman"/>
        </w:rPr>
      </w:pPr>
      <w:r w:rsidRPr="00170E3C">
        <w:rPr>
          <w:rFonts w:ascii="Times New Roman" w:hAnsi="Times New Roman" w:cs="Times New Roman"/>
          <w:b/>
        </w:rPr>
        <w:t>1.</w:t>
      </w:r>
      <w:r>
        <w:rPr>
          <w:rFonts w:ascii="Times New Roman" w:hAnsi="Times New Roman" w:cs="Times New Roman"/>
        </w:rPr>
        <w:t> </w:t>
      </w:r>
      <w:r w:rsidRPr="004B4D19">
        <w:rPr>
          <w:rFonts w:ascii="Times New Roman" w:hAnsi="Times New Roman" w:cs="Times New Roman"/>
        </w:rPr>
        <w:t xml:space="preserve">Върху съдебната практика неблагоприятно се отразява недостигът на криминологична експертиза. Въпреки положените усилия от отделни звена в прокуратурата, отсъствието на достъпни, регулярни и достатъчно подробни официални данни за динамиката на престъпността, криминогенните фактори, процесите в уязвими групи от населението и превантивните политики на държавата обуславят пропуски на органите на съдебната власт при адекватна преценка на тежестта на извършеното и съразмерността на наказанието. </w:t>
      </w:r>
    </w:p>
    <w:p w:rsidR="008B2CAA" w:rsidRDefault="008B2CAA" w:rsidP="008B2CAA">
      <w:pPr>
        <w:pStyle w:val="ListParagraph"/>
        <w:ind w:left="0" w:firstLine="708"/>
        <w:jc w:val="both"/>
      </w:pPr>
      <w:r w:rsidRPr="00170E3C">
        <w:rPr>
          <w:b/>
        </w:rPr>
        <w:t>2. </w:t>
      </w:r>
      <w:r>
        <w:t xml:space="preserve">В съдебната практика липсва последователност при определянето на размера на обезщетенията за неимуществени вреди от престъплението. Налице са драстични и нелогични разлики в размера при сходни случаи, вкл. прекомерен размер, при който е несъмнено, че обезщетението никога няма да може да бъде платено. Наблюдението се обяснява с различни подходи. Единият краен подход предвижда уважаване на цялото поискано обезщетение без коментар на размера, а само на основателността, а другият съобразява размера с възможността на дееца да го плати, която е характерна за преценка на глобите. </w:t>
      </w:r>
    </w:p>
    <w:p w:rsidR="008B2CAA" w:rsidRDefault="008B2CAA" w:rsidP="008B2CAA">
      <w:pPr>
        <w:pStyle w:val="Default"/>
        <w:ind w:firstLine="708"/>
        <w:jc w:val="both"/>
        <w:rPr>
          <w:rFonts w:ascii="Times New Roman" w:hAnsi="Times New Roman" w:cs="Times New Roman"/>
        </w:rPr>
      </w:pPr>
      <w:r w:rsidRPr="00587A03">
        <w:rPr>
          <w:rFonts w:ascii="Times New Roman" w:hAnsi="Times New Roman" w:cs="Times New Roman"/>
          <w:b/>
        </w:rPr>
        <w:t>3.</w:t>
      </w:r>
      <w:r>
        <w:rPr>
          <w:rFonts w:ascii="Times New Roman" w:hAnsi="Times New Roman" w:cs="Times New Roman"/>
        </w:rPr>
        <w:t> В производствата по екзекватура на чуждестранни присъди се забелязват сходни случаи, в които възприетата от българския съд квалификация на деянието не съответства на установените от чуждестранния съд факти на извършеното. В някои актове на българския съд липсват мотиви за възприетата квалификация.</w:t>
      </w:r>
    </w:p>
    <w:p w:rsidR="008B2CAA" w:rsidRDefault="008B2CAA" w:rsidP="008B2CAA">
      <w:pPr>
        <w:pStyle w:val="Default"/>
        <w:ind w:firstLine="708"/>
        <w:jc w:val="both"/>
        <w:rPr>
          <w:rFonts w:ascii="Times New Roman" w:hAnsi="Times New Roman" w:cs="Times New Roman"/>
        </w:rPr>
      </w:pPr>
      <w:r>
        <w:rPr>
          <w:rFonts w:ascii="Times New Roman" w:hAnsi="Times New Roman" w:cs="Times New Roman"/>
        </w:rPr>
        <w:t>Във връзка с приспадането на работни дни, положени при изтърпяване на наказанието в чужбина, следва да се обърне внимание на непоследователност в съдебната практика. Понякога приспадането се извършва преди да бъде определен размерът на наказанието, което следва да се търпи у нас, а понякога – след определянето му. Юридическите последици са твърде различни. В първия случай приспадането намалява изтърпяната фактически част от наказанието в противоречие с българския закон, който изисква приспадането им от остатъка. Този подход води до неоправдано по-ранно настъпване на предпоставките за УПО и други институти, облекчаващи репресията, и следва да се избягва.</w:t>
      </w:r>
    </w:p>
    <w:p w:rsidR="008B2CAA" w:rsidRPr="004B4D19" w:rsidRDefault="008B2CAA" w:rsidP="008B2CAA">
      <w:pPr>
        <w:pStyle w:val="Default"/>
        <w:ind w:firstLine="708"/>
        <w:jc w:val="both"/>
        <w:rPr>
          <w:rFonts w:ascii="Times New Roman" w:hAnsi="Times New Roman" w:cs="Times New Roman"/>
        </w:rPr>
      </w:pPr>
      <w:r w:rsidRPr="00587A03">
        <w:rPr>
          <w:rFonts w:ascii="Times New Roman" w:hAnsi="Times New Roman" w:cs="Times New Roman"/>
          <w:b/>
        </w:rPr>
        <w:t>4.</w:t>
      </w:r>
      <w:r>
        <w:rPr>
          <w:rFonts w:ascii="Times New Roman" w:hAnsi="Times New Roman" w:cs="Times New Roman"/>
        </w:rPr>
        <w:t xml:space="preserve"> В светлината на направените наблюдения за работата на затворите Комисията оценява положително въведената правна възможност производството по УПО да може да бъде започнато и по молба на осъдения. Тази промяна има не само антикорупционна насоченост. Възможността осъденият пряко да упражнява права за достъп до съд има силен реинтегиращ ефект и повишава уменията на тези лица да функционират в правно регулирана среда. В същото време промянат не </w:t>
      </w:r>
      <w:r>
        <w:rPr>
          <w:rFonts w:ascii="Times New Roman" w:hAnsi="Times New Roman" w:cs="Times New Roman"/>
        </w:rPr>
        <w:lastRenderedPageBreak/>
        <w:t>засяга ролята на затворите като основни източници на информация и експертиза за поправянето на осъдения.</w:t>
      </w:r>
    </w:p>
    <w:p w:rsidR="008B2CAA" w:rsidRPr="004B4D19" w:rsidRDefault="008B2CAA" w:rsidP="008B2CAA">
      <w:pPr>
        <w:pStyle w:val="ListParagraph"/>
        <w:ind w:left="0" w:firstLine="708"/>
        <w:jc w:val="both"/>
      </w:pPr>
      <w:r>
        <w:rPr>
          <w:b/>
        </w:rPr>
        <w:t>5</w:t>
      </w:r>
      <w:r w:rsidRPr="00170E3C">
        <w:rPr>
          <w:b/>
        </w:rPr>
        <w:t>.</w:t>
      </w:r>
      <w:r w:rsidRPr="004B4D19">
        <w:t xml:space="preserve"> Необходимо е повишаване на информираността на юридическите професии по въпросите на помилването, включително с оглед </w:t>
      </w:r>
      <w:r w:rsidRPr="004B4D19">
        <w:rPr>
          <w:b/>
        </w:rPr>
        <w:t>подобряване на качеството на адвокатските услуги</w:t>
      </w:r>
      <w:r w:rsidRPr="004B4D19">
        <w:t xml:space="preserve"> в тази сфера. Забелязва се повишен интерес от страна на адвокатите към правната същност и последици на помилването, но равнището на познаване на материята – с редки изключения – остава като цяло непроменено. Съдържанието и аргументацията им най-често не са от</w:t>
      </w:r>
      <w:r>
        <w:t>н</w:t>
      </w:r>
      <w:r w:rsidRPr="004B4D19">
        <w:t>осими към помилването, а нерядко адвокати подават молби, за които са налице основания з</w:t>
      </w:r>
      <w:r>
        <w:t>а прекратяване на разглеждането</w:t>
      </w:r>
      <w:r>
        <w:rPr>
          <w:rStyle w:val="FootnoteReference"/>
        </w:rPr>
        <w:footnoteReference w:id="11"/>
      </w:r>
      <w:r w:rsidRPr="004B4D19">
        <w:t xml:space="preserve">. </w:t>
      </w:r>
      <w:r>
        <w:t>Проблемът следва да се адресира със серия обучителни събития със съдействието на Центъра за обучение на адвокати ,,Кръстю Цончев“ (установено сътрудничество и договорени семинари за адвокати есенния семестър поради запълнена програма за летния) и</w:t>
      </w:r>
      <w:r w:rsidRPr="004B4D19">
        <w:t xml:space="preserve"> Бюрото за правна помощ </w:t>
      </w:r>
      <w:r>
        <w:t>(предстои</w:t>
      </w:r>
      <w:r w:rsidRPr="004B4D19">
        <w:t xml:space="preserve"> </w:t>
      </w:r>
      <w:r>
        <w:t>установяване на сътрудничество за</w:t>
      </w:r>
      <w:r w:rsidRPr="004B4D19">
        <w:t xml:space="preserve"> организира</w:t>
      </w:r>
      <w:r>
        <w:t>не</w:t>
      </w:r>
      <w:r w:rsidRPr="004B4D19">
        <w:t xml:space="preserve"> серия от семинари за служебните защитници</w:t>
      </w:r>
      <w:r>
        <w:t>).</w:t>
      </w:r>
    </w:p>
    <w:p w:rsidR="008B2CAA" w:rsidRPr="004B4D19" w:rsidRDefault="008B2CAA" w:rsidP="008B2CAA">
      <w:pPr>
        <w:pStyle w:val="ListParagraph"/>
        <w:ind w:left="0" w:firstLine="708"/>
        <w:jc w:val="both"/>
        <w:rPr>
          <w:b/>
        </w:rPr>
      </w:pPr>
    </w:p>
    <w:p w:rsidR="008B2CAA" w:rsidRDefault="008B2CAA" w:rsidP="008B2CAA"/>
    <w:p w:rsidR="00D10B55" w:rsidRPr="004B4D19" w:rsidRDefault="00D10B55" w:rsidP="00622AB9">
      <w:pPr>
        <w:pStyle w:val="ListParagraph"/>
        <w:ind w:left="0" w:firstLine="708"/>
        <w:jc w:val="both"/>
        <w:rPr>
          <w:b/>
        </w:rPr>
      </w:pPr>
    </w:p>
    <w:sectPr w:rsidR="00D10B55" w:rsidRPr="004B4D19" w:rsidSect="00E411D2">
      <w:headerReference w:type="default" r:id="rId20"/>
      <w:footerReference w:type="even" r:id="rId21"/>
      <w:footerReference w:type="default" r:id="rId22"/>
      <w:pgSz w:w="11906" w:h="16838"/>
      <w:pgMar w:top="1418" w:right="902" w:bottom="1418" w:left="72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81" w:rsidRDefault="00750A81">
      <w:r>
        <w:separator/>
      </w:r>
    </w:p>
  </w:endnote>
  <w:endnote w:type="continuationSeparator" w:id="0">
    <w:p w:rsidR="00750A81" w:rsidRDefault="0075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AA" w:rsidRDefault="008B2CAA"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2CAA" w:rsidRDefault="008B2CAA" w:rsidP="002711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AA" w:rsidRDefault="008B2CAA"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EFE">
      <w:rPr>
        <w:rStyle w:val="PageNumber"/>
        <w:noProof/>
      </w:rPr>
      <w:t>5</w:t>
    </w:r>
    <w:r>
      <w:rPr>
        <w:rStyle w:val="PageNumber"/>
      </w:rPr>
      <w:fldChar w:fldCharType="end"/>
    </w:r>
  </w:p>
  <w:p w:rsidR="008B2CAA" w:rsidRPr="005324D6" w:rsidRDefault="008B2CAA" w:rsidP="002711C3">
    <w:pPr>
      <w:pStyle w:val="Header"/>
      <w:ind w:left="-851" w:right="360"/>
      <w:jc w:val="both"/>
      <w:rPr>
        <w:sz w:val="22"/>
        <w:szCs w:val="22"/>
      </w:rPr>
    </w:pPr>
  </w:p>
  <w:p w:rsidR="008B2CAA" w:rsidRDefault="008B2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81" w:rsidRDefault="00750A81">
      <w:r>
        <w:separator/>
      </w:r>
    </w:p>
  </w:footnote>
  <w:footnote w:type="continuationSeparator" w:id="0">
    <w:p w:rsidR="00750A81" w:rsidRDefault="00750A81">
      <w:r>
        <w:continuationSeparator/>
      </w:r>
    </w:p>
  </w:footnote>
  <w:footnote w:id="1">
    <w:p w:rsidR="008B2CAA" w:rsidRPr="00330DBD" w:rsidRDefault="008B2CAA" w:rsidP="007B3481">
      <w:pPr>
        <w:pStyle w:val="FootnoteText"/>
        <w:jc w:val="both"/>
        <w:rPr>
          <w:rFonts w:asciiTheme="majorHAnsi" w:hAnsiTheme="majorHAnsi"/>
        </w:rPr>
      </w:pPr>
      <w:r w:rsidRPr="004E6903">
        <w:rPr>
          <w:rStyle w:val="FootnoteReference"/>
          <w:rFonts w:asciiTheme="majorHAnsi" w:hAnsiTheme="majorHAnsi"/>
        </w:rPr>
        <w:footnoteRef/>
      </w:r>
      <w:r w:rsidRPr="004E6903">
        <w:rPr>
          <w:rFonts w:asciiTheme="majorHAnsi" w:hAnsiTheme="majorHAnsi"/>
        </w:rPr>
        <w:t xml:space="preserve"> </w:t>
      </w:r>
      <w:r w:rsidRPr="00330DBD">
        <w:rPr>
          <w:rFonts w:asciiTheme="majorHAnsi" w:hAnsiTheme="majorHAnsi"/>
        </w:rPr>
        <w:t>Първата мандатна година започва на 23.01.2017 г. и продължава до 22.01.2018 г.</w:t>
      </w:r>
    </w:p>
  </w:footnote>
  <w:footnote w:id="2">
    <w:p w:rsidR="008B2CAA" w:rsidRPr="00330DBD" w:rsidRDefault="008B2CAA" w:rsidP="006F0989">
      <w:pPr>
        <w:pStyle w:val="FootnoteText"/>
        <w:jc w:val="both"/>
        <w:rPr>
          <w:rFonts w:asciiTheme="majorHAnsi" w:hAnsiTheme="majorHAnsi"/>
        </w:rPr>
      </w:pPr>
      <w:r w:rsidRPr="00330DBD">
        <w:rPr>
          <w:rStyle w:val="FootnoteReference"/>
          <w:rFonts w:asciiTheme="majorHAnsi" w:hAnsiTheme="majorHAnsi"/>
        </w:rPr>
        <w:footnoteRef/>
      </w:r>
      <w:r w:rsidRPr="00330DBD">
        <w:rPr>
          <w:rFonts w:asciiTheme="majorHAnsi" w:hAnsiTheme="majorHAnsi"/>
        </w:rPr>
        <w:t xml:space="preserve"> </w:t>
      </w:r>
      <w:r w:rsidRPr="00330DBD">
        <w:rPr>
          <w:rFonts w:asciiTheme="majorHAnsi" w:hAnsiTheme="majorHAnsi" w:cs="Arial"/>
          <w:shd w:val="clear" w:color="auto" w:fill="FFFFFF"/>
        </w:rPr>
        <w:t>С Указ № 31/18.04.2017 г. осъденият е помилван с остатъка от наказанието ,,лишаване от правоуправление на МПС завинаги“</w:t>
      </w:r>
      <w:r>
        <w:rPr>
          <w:rFonts w:asciiTheme="majorHAnsi" w:hAnsiTheme="majorHAnsi" w:cs="Arial"/>
          <w:shd w:val="clear" w:color="auto" w:fill="FFFFFF"/>
        </w:rPr>
        <w:t>.</w:t>
      </w:r>
    </w:p>
  </w:footnote>
  <w:footnote w:id="3">
    <w:p w:rsidR="008B2CAA" w:rsidRPr="003A3495" w:rsidRDefault="008B2CAA" w:rsidP="006F0989">
      <w:pPr>
        <w:pStyle w:val="FootnoteText"/>
        <w:jc w:val="both"/>
        <w:rPr>
          <w:rFonts w:asciiTheme="majorHAnsi" w:hAnsiTheme="majorHAnsi"/>
        </w:rPr>
      </w:pPr>
      <w:r>
        <w:rPr>
          <w:rStyle w:val="FootnoteReference"/>
        </w:rPr>
        <w:footnoteRef/>
      </w:r>
      <w:r>
        <w:t xml:space="preserve"> </w:t>
      </w:r>
      <w:r>
        <w:rPr>
          <w:rFonts w:asciiTheme="majorHAnsi" w:hAnsiTheme="majorHAnsi" w:cs="Arial"/>
          <w:shd w:val="clear" w:color="auto" w:fill="FFFFFF"/>
        </w:rPr>
        <w:t>С Указ № 4</w:t>
      </w:r>
      <w:r w:rsidRPr="00330DBD">
        <w:rPr>
          <w:rFonts w:asciiTheme="majorHAnsi" w:hAnsiTheme="majorHAnsi" w:cs="Arial"/>
          <w:shd w:val="clear" w:color="auto" w:fill="FFFFFF"/>
        </w:rPr>
        <w:t>1/1</w:t>
      </w:r>
      <w:r>
        <w:rPr>
          <w:rFonts w:asciiTheme="majorHAnsi" w:hAnsiTheme="majorHAnsi" w:cs="Arial"/>
          <w:shd w:val="clear" w:color="auto" w:fill="FFFFFF"/>
        </w:rPr>
        <w:t>5.06.2017 г. осъдената</w:t>
      </w:r>
      <w:r w:rsidRPr="00330DBD">
        <w:rPr>
          <w:rFonts w:asciiTheme="majorHAnsi" w:hAnsiTheme="majorHAnsi" w:cs="Arial"/>
          <w:shd w:val="clear" w:color="auto" w:fill="FFFFFF"/>
        </w:rPr>
        <w:t xml:space="preserve"> е помилван</w:t>
      </w:r>
      <w:r>
        <w:rPr>
          <w:rFonts w:asciiTheme="majorHAnsi" w:hAnsiTheme="majorHAnsi" w:cs="Arial"/>
          <w:shd w:val="clear" w:color="auto" w:fill="FFFFFF"/>
        </w:rPr>
        <w:t>а изцяло с двете си наказания.</w:t>
      </w:r>
    </w:p>
  </w:footnote>
  <w:footnote w:id="4">
    <w:p w:rsidR="000C5D8A" w:rsidRDefault="000C5D8A">
      <w:pPr>
        <w:pStyle w:val="FootnoteText"/>
      </w:pPr>
      <w:r>
        <w:rPr>
          <w:rStyle w:val="FootnoteReference"/>
        </w:rPr>
        <w:footnoteRef/>
      </w:r>
      <w:r>
        <w:t xml:space="preserve"> Предложението не е уважено.</w:t>
      </w:r>
    </w:p>
  </w:footnote>
  <w:footnote w:id="5">
    <w:p w:rsidR="008B2CAA" w:rsidRDefault="008B2CAA" w:rsidP="00C130B7">
      <w:pPr>
        <w:pStyle w:val="FootnoteText"/>
        <w:jc w:val="both"/>
      </w:pPr>
      <w:r>
        <w:rPr>
          <w:rStyle w:val="FootnoteReference"/>
        </w:rPr>
        <w:footnoteRef/>
      </w:r>
      <w:r>
        <w:t xml:space="preserve"> </w:t>
      </w:r>
      <w:r w:rsidRPr="004B4D19">
        <w:t xml:space="preserve">В края на предходния мандат поисканите и неполучени справки са общо 69, от които към май 2017 все още не са получени 30. През </w:t>
      </w:r>
      <w:r>
        <w:t>полугодието</w:t>
      </w:r>
      <w:r w:rsidRPr="004B4D19">
        <w:t xml:space="preserve"> са поискани общо 275 справки и са получени 223. </w:t>
      </w:r>
      <w:r>
        <w:t>През май</w:t>
      </w:r>
      <w:r w:rsidRPr="004B4D19">
        <w:t xml:space="preserve"> 2017 г. </w:t>
      </w:r>
      <w:r>
        <w:t>е достигнат пик от 118 изискани</w:t>
      </w:r>
      <w:r w:rsidRPr="004B4D19">
        <w:t xml:space="preserve"> и неполучени справки. Тенденцията не се овладя въпреки многократно проведените работни срещи с ръководството на МП и ГДИН.</w:t>
      </w:r>
      <w:r>
        <w:t xml:space="preserve"> Забавянето се допуска от ГДИН.</w:t>
      </w:r>
    </w:p>
  </w:footnote>
  <w:footnote w:id="6">
    <w:p w:rsidR="008B2CAA" w:rsidRPr="00A41765" w:rsidRDefault="008B2CAA" w:rsidP="00A41765">
      <w:pPr>
        <w:pStyle w:val="ListParagraph"/>
        <w:ind w:left="0"/>
        <w:jc w:val="both"/>
        <w:rPr>
          <w:rFonts w:asciiTheme="majorHAnsi" w:hAnsiTheme="majorHAnsi"/>
          <w:sz w:val="20"/>
          <w:szCs w:val="20"/>
        </w:rPr>
      </w:pPr>
      <w:r>
        <w:rPr>
          <w:rStyle w:val="FootnoteReference"/>
        </w:rPr>
        <w:footnoteRef/>
      </w:r>
      <w:r>
        <w:t xml:space="preserve"> </w:t>
      </w:r>
      <w:r w:rsidRPr="00A41765">
        <w:rPr>
          <w:rFonts w:asciiTheme="majorHAnsi" w:hAnsiTheme="majorHAnsi"/>
          <w:sz w:val="20"/>
          <w:szCs w:val="20"/>
        </w:rPr>
        <w:t xml:space="preserve">Както Комисията многократно е изтъквала, </w:t>
      </w:r>
      <w:r>
        <w:rPr>
          <w:rFonts w:asciiTheme="majorHAnsi" w:hAnsiTheme="majorHAnsi"/>
          <w:sz w:val="20"/>
          <w:szCs w:val="20"/>
        </w:rPr>
        <w:t>УПО</w:t>
      </w:r>
      <w:r w:rsidRPr="00A41765">
        <w:rPr>
          <w:rFonts w:asciiTheme="majorHAnsi" w:hAnsiTheme="majorHAnsi"/>
          <w:sz w:val="20"/>
          <w:szCs w:val="20"/>
        </w:rPr>
        <w:t xml:space="preserve"> е конкурентен на помилването </w:t>
      </w:r>
      <w:r>
        <w:rPr>
          <w:rFonts w:asciiTheme="majorHAnsi" w:hAnsiTheme="majorHAnsi"/>
          <w:sz w:val="20"/>
          <w:szCs w:val="20"/>
        </w:rPr>
        <w:t>институт и има предимство</w:t>
      </w:r>
      <w:r w:rsidRPr="00A41765">
        <w:rPr>
          <w:rFonts w:asciiTheme="majorHAnsi" w:hAnsiTheme="majorHAnsi"/>
          <w:sz w:val="20"/>
          <w:szCs w:val="20"/>
        </w:rPr>
        <w:t xml:space="preserve">, когато предпоставките за прилагането му са налице. В проведените през 2012-2013 г. изследвания Комисията установи, че в практиката е налице смесване на тези два инструмента за облекчаване на отговорността, като самите молители трудно се ориентират в разликите между тях. В резултат на последователно провежданата от Комисията политика по отстояване на предимството на </w:t>
      </w:r>
      <w:r>
        <w:rPr>
          <w:rFonts w:asciiTheme="majorHAnsi" w:hAnsiTheme="majorHAnsi"/>
          <w:sz w:val="20"/>
          <w:szCs w:val="20"/>
        </w:rPr>
        <w:t>УПО</w:t>
      </w:r>
      <w:r w:rsidRPr="00A41765">
        <w:rPr>
          <w:rFonts w:asciiTheme="majorHAnsi" w:hAnsiTheme="majorHAnsi"/>
          <w:sz w:val="20"/>
          <w:szCs w:val="20"/>
        </w:rPr>
        <w:t xml:space="preserve">, </w:t>
      </w:r>
      <w:r>
        <w:rPr>
          <w:rFonts w:asciiTheme="majorHAnsi" w:hAnsiTheme="majorHAnsi"/>
          <w:sz w:val="20"/>
          <w:szCs w:val="20"/>
        </w:rPr>
        <w:t>към края на 2015 г.</w:t>
      </w:r>
      <w:r w:rsidRPr="00A41765">
        <w:rPr>
          <w:rFonts w:asciiTheme="majorHAnsi" w:hAnsiTheme="majorHAnsi"/>
          <w:sz w:val="20"/>
          <w:szCs w:val="20"/>
        </w:rPr>
        <w:t xml:space="preserve"> делът на молителите, които търсят помилване, като се позовават на предпоставки за УПО, </w:t>
      </w:r>
      <w:r>
        <w:rPr>
          <w:rFonts w:asciiTheme="majorHAnsi" w:hAnsiTheme="majorHAnsi"/>
          <w:sz w:val="20"/>
          <w:szCs w:val="20"/>
        </w:rPr>
        <w:t>б</w:t>
      </w:r>
      <w:r w:rsidRPr="00A41765">
        <w:rPr>
          <w:rFonts w:asciiTheme="majorHAnsi" w:hAnsiTheme="majorHAnsi"/>
          <w:sz w:val="20"/>
          <w:szCs w:val="20"/>
        </w:rPr>
        <w:t>е свит наполовина. Тези молители изтъкват други обстоятелства в подкрепа на молбата си.</w:t>
      </w:r>
    </w:p>
  </w:footnote>
  <w:footnote w:id="7">
    <w:p w:rsidR="00927EBD" w:rsidRDefault="00927EBD" w:rsidP="00927EBD">
      <w:pPr>
        <w:pStyle w:val="FootnoteText"/>
      </w:pPr>
      <w:r>
        <w:rPr>
          <w:rStyle w:val="FootnoteReference"/>
        </w:rPr>
        <w:footnoteRef/>
      </w:r>
      <w:r>
        <w:t xml:space="preserve"> Статистическото движение на тази група е:  24% (2012 г.); 10% (2013 г.); 13% (2014 г.); 15% (2015 г.); 19 % (2016 г.).</w:t>
      </w:r>
    </w:p>
  </w:footnote>
  <w:footnote w:id="8">
    <w:p w:rsidR="00692FA2" w:rsidRDefault="00692FA2" w:rsidP="00692FA2">
      <w:pPr>
        <w:pStyle w:val="FootnoteText"/>
        <w:jc w:val="both"/>
      </w:pPr>
      <w:r>
        <w:rPr>
          <w:rStyle w:val="FootnoteReference"/>
        </w:rPr>
        <w:footnoteRef/>
      </w:r>
      <w:r>
        <w:t xml:space="preserve"> </w:t>
      </w:r>
      <w:r w:rsidRPr="004B4D19">
        <w:t>Анализът ще бъде внесен в ДАЗД</w:t>
      </w:r>
      <w:r>
        <w:t xml:space="preserve"> и всички заинтересовани страни</w:t>
      </w:r>
      <w:r w:rsidRPr="004B4D19">
        <w:t>, за да бъде пол</w:t>
      </w:r>
      <w:r>
        <w:t>зван за разработване на методики</w:t>
      </w:r>
      <w:r w:rsidRPr="004B4D19">
        <w:t xml:space="preserve"> за работа с такива деца. На конференция през есента на 2017 г. се планира да бъдат обсъдени резултатите, вкл. предприетите от ДАЗД </w:t>
      </w:r>
      <w:r>
        <w:t xml:space="preserve">и ресорните власти </w:t>
      </w:r>
      <w:r w:rsidRPr="004B4D19">
        <w:t>мерки.</w:t>
      </w:r>
    </w:p>
  </w:footnote>
  <w:footnote w:id="9">
    <w:p w:rsidR="008B2CAA" w:rsidRDefault="008B2CAA" w:rsidP="008B2CAA">
      <w:pPr>
        <w:pStyle w:val="FootnoteText"/>
        <w:jc w:val="both"/>
      </w:pPr>
      <w:r>
        <w:rPr>
          <w:rStyle w:val="FootnoteReference"/>
        </w:rPr>
        <w:footnoteRef/>
      </w:r>
      <w:r>
        <w:t xml:space="preserve"> Началникът на затвора-София е назначен от юни 2017 г., след като предходният бе дисциплинарно уволнен за системно допускани тежки и масови нарушения. По същия начин в началото на предходния мандат бе уволнен началникът на Бургаския затвор.</w:t>
      </w:r>
    </w:p>
  </w:footnote>
  <w:footnote w:id="10">
    <w:p w:rsidR="008B2CAA" w:rsidRDefault="008B2CAA" w:rsidP="008B2CAA">
      <w:pPr>
        <w:pStyle w:val="FootnoteText"/>
        <w:jc w:val="both"/>
      </w:pPr>
      <w:r>
        <w:rPr>
          <w:rStyle w:val="FootnoteReference"/>
        </w:rPr>
        <w:footnoteRef/>
      </w:r>
      <w:r>
        <w:t xml:space="preserve"> </w:t>
      </w:r>
      <w:r w:rsidRPr="00016249">
        <w:t>Макар частният характер на тези вземания да предполага активност на лицата, заинтересовани да ги получат, те понякога нямат такава възможност. Особена загриженост предизвикват пострадали, които са социално уязвими или чиито фактически възможности да търсят плащане са увредени от самото престъпление (деца; твърде възрастни или малограмотни хора; силно обеднели в резултат на престъплението; лица, на които престъплението е нанесло силна травма или е увредило тежко здравето им; пострадали от престъпление, чийто извършител се укрива).</w:t>
      </w:r>
    </w:p>
  </w:footnote>
  <w:footnote w:id="11">
    <w:p w:rsidR="008B2CAA" w:rsidRDefault="008B2CAA" w:rsidP="008B2CAA">
      <w:pPr>
        <w:pStyle w:val="FootnoteText"/>
        <w:jc w:val="both"/>
      </w:pPr>
      <w:r>
        <w:rPr>
          <w:rStyle w:val="FootnoteReference"/>
        </w:rPr>
        <w:footnoteRef/>
      </w:r>
      <w:r>
        <w:t xml:space="preserve"> </w:t>
      </w:r>
      <w:r w:rsidRPr="00B0381A">
        <w:t xml:space="preserve">За повлияване на проблема през отчетния период бе проведена публична лекция на председателя на КП пред аудитория от близо 100 души, сред които и адвокати, а на научна конференция в СУ пред смесена аудитория бе изнесен доклад, посветен на практически юридически въпроси на помилването. На сайта на държавния глава са достъпни множеството правни и криминологични анализи и аналитични отчети на Комисията, които са едновременно официални и изчерпателни и създадени добронамерено от екипа на Комисията в интерес както на обществената информираност, така и с цел по-добра професионална ориентация на молителите и техните адвокати. Видно от съдържанието на молбите, изходящи от близки на осъдените, тези материли се четат.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AA" w:rsidRDefault="004476E1" w:rsidP="001E7C52">
    <w:pPr>
      <w:pStyle w:val="Header"/>
      <w:rPr>
        <w:rFonts w:asciiTheme="majorHAnsi" w:hAnsiTheme="majorHAnsi"/>
        <w:b/>
        <w:sz w:val="20"/>
        <w:szCs w:val="20"/>
      </w:rPr>
    </w:pPr>
    <w:r>
      <w:rPr>
        <w:rFonts w:asciiTheme="majorHAnsi" w:hAnsiTheme="majorHAnsi"/>
        <w:b/>
        <w:sz w:val="20"/>
        <w:szCs w:val="20"/>
      </w:rPr>
      <w:t>ШЕСТ</w:t>
    </w:r>
    <w:r w:rsidR="008B2CAA">
      <w:rPr>
        <w:rFonts w:asciiTheme="majorHAnsi" w:hAnsiTheme="majorHAnsi"/>
        <w:b/>
        <w:sz w:val="20"/>
        <w:szCs w:val="20"/>
      </w:rPr>
      <w:t xml:space="preserve">МЕСЕЧЕН ОТЧЕТ                                         </w:t>
    </w:r>
    <w:r w:rsidR="008B2CAA">
      <w:rPr>
        <w:rFonts w:asciiTheme="majorHAnsi" w:hAnsiTheme="majorHAnsi"/>
        <w:b/>
        <w:sz w:val="20"/>
        <w:szCs w:val="20"/>
      </w:rPr>
      <w:tab/>
    </w:r>
    <w:r w:rsidR="008B2CAA">
      <w:rPr>
        <w:rFonts w:asciiTheme="majorHAnsi" w:hAnsiTheme="majorHAnsi"/>
        <w:b/>
        <w:sz w:val="20"/>
        <w:szCs w:val="20"/>
      </w:rPr>
      <w:tab/>
      <w:t xml:space="preserve">       </w:t>
    </w:r>
    <w:r w:rsidR="008B2CAA">
      <w:rPr>
        <w:rFonts w:asciiTheme="majorHAnsi" w:hAnsiTheme="majorHAnsi"/>
        <w:b/>
        <w:sz w:val="20"/>
        <w:szCs w:val="20"/>
        <w:lang w:val="en-GB"/>
      </w:rPr>
      <w:t xml:space="preserve">                                           </w:t>
    </w:r>
    <w:r w:rsidR="008B2CAA">
      <w:rPr>
        <w:rFonts w:asciiTheme="majorHAnsi" w:hAnsiTheme="majorHAnsi"/>
        <w:b/>
        <w:sz w:val="20"/>
        <w:szCs w:val="20"/>
      </w:rPr>
      <w:t xml:space="preserve">    КОМИСИЯ ПО ПОМИЛВАНЕТО ПРИ </w:t>
    </w:r>
  </w:p>
  <w:p w:rsidR="008B2CAA" w:rsidRDefault="008B2CAA" w:rsidP="003A7AFE">
    <w:pPr>
      <w:pStyle w:val="Header"/>
      <w:pBdr>
        <w:bottom w:val="single" w:sz="6" w:space="1" w:color="auto"/>
      </w:pBdr>
      <w:rPr>
        <w:rFonts w:asciiTheme="majorHAnsi" w:hAnsiTheme="majorHAnsi"/>
        <w:b/>
        <w:sz w:val="20"/>
        <w:szCs w:val="20"/>
      </w:rPr>
    </w:pPr>
    <w:r>
      <w:rPr>
        <w:rFonts w:asciiTheme="majorHAnsi" w:hAnsiTheme="majorHAnsi"/>
        <w:b/>
        <w:sz w:val="20"/>
        <w:szCs w:val="20"/>
      </w:rPr>
      <w:t xml:space="preserve">ЯНУАРИ - </w:t>
    </w:r>
    <w:r w:rsidR="00555EFE">
      <w:rPr>
        <w:rFonts w:asciiTheme="majorHAnsi" w:hAnsiTheme="majorHAnsi"/>
        <w:b/>
        <w:sz w:val="20"/>
        <w:szCs w:val="20"/>
      </w:rPr>
      <w:t>АВГУСТ</w:t>
    </w:r>
    <w:r>
      <w:rPr>
        <w:rFonts w:asciiTheme="majorHAnsi" w:hAnsiTheme="majorHAnsi"/>
        <w:b/>
        <w:sz w:val="20"/>
        <w:szCs w:val="20"/>
      </w:rPr>
      <w:t xml:space="preserve"> 2017 г. </w:t>
    </w:r>
    <w:r>
      <w:rPr>
        <w:rFonts w:asciiTheme="majorHAnsi" w:hAnsiTheme="majorHAnsi"/>
        <w:b/>
        <w:sz w:val="20"/>
        <w:szCs w:val="20"/>
      </w:rPr>
      <w:tab/>
    </w:r>
    <w:r w:rsidR="00555EFE">
      <w:rPr>
        <w:rFonts w:asciiTheme="majorHAnsi" w:hAnsiTheme="majorHAnsi"/>
        <w:b/>
        <w:sz w:val="20"/>
        <w:szCs w:val="20"/>
      </w:rPr>
      <w:t xml:space="preserve">                          </w:t>
    </w:r>
    <w:r>
      <w:rPr>
        <w:rFonts w:asciiTheme="majorHAnsi" w:hAnsiTheme="majorHAnsi"/>
        <w:b/>
        <w:sz w:val="20"/>
        <w:szCs w:val="20"/>
      </w:rPr>
      <w:t xml:space="preserve">                                                              ПРЕЗИДЕНТА НА РЕПУБЛИКА БЪЛГАРИЯ</w:t>
    </w:r>
  </w:p>
  <w:p w:rsidR="008B2CAA" w:rsidRPr="001E7C52" w:rsidRDefault="008B2CAA" w:rsidP="001E7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6630"/>
    <w:multiLevelType w:val="hybridMultilevel"/>
    <w:tmpl w:val="1AE05DE6"/>
    <w:lvl w:ilvl="0" w:tplc="93E0A0D2">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cs="Times New Roman" w:hint="default"/>
        <w:b/>
      </w:rPr>
    </w:lvl>
    <w:lvl w:ilvl="1" w:tplc="04020003">
      <w:start w:val="1"/>
      <w:numFmt w:val="bullet"/>
      <w:lvlText w:val="o"/>
      <w:lvlJc w:val="left"/>
      <w:pPr>
        <w:ind w:left="1630" w:hanging="360"/>
      </w:pPr>
      <w:rPr>
        <w:rFonts w:ascii="Courier New" w:hAnsi="Courier New" w:cs="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cs="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cs="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2" w15:restartNumberingAfterBreak="0">
    <w:nsid w:val="107C1790"/>
    <w:multiLevelType w:val="hybridMultilevel"/>
    <w:tmpl w:val="ED22FA5C"/>
    <w:lvl w:ilvl="0" w:tplc="C3F40E60">
      <w:numFmt w:val="bullet"/>
      <w:lvlText w:val="-"/>
      <w:lvlJc w:val="left"/>
      <w:pPr>
        <w:ind w:left="1065" w:hanging="360"/>
      </w:pPr>
      <w:rPr>
        <w:rFonts w:ascii="Times New Roman" w:eastAsia="Times New Roman" w:hAnsi="Times New Roman" w:cs="Times New Roman" w:hint="default"/>
        <w:b/>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3" w15:restartNumberingAfterBreak="0">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4" w15:restartNumberingAfterBreak="0">
    <w:nsid w:val="139F62C9"/>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5" w15:restartNumberingAfterBreak="0">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7" w15:restartNumberingAfterBreak="0">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8" w15:restartNumberingAfterBreak="0">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18D67FC3"/>
    <w:multiLevelType w:val="hybridMultilevel"/>
    <w:tmpl w:val="D0782CAE"/>
    <w:lvl w:ilvl="0" w:tplc="A7DAE864">
      <w:start w:val="3"/>
      <w:numFmt w:val="bullet"/>
      <w:lvlText w:val="-"/>
      <w:lvlJc w:val="left"/>
      <w:pPr>
        <w:ind w:left="1068" w:hanging="360"/>
      </w:pPr>
      <w:rPr>
        <w:rFonts w:ascii="Cambria" w:eastAsia="Times New Roman" w:hAnsi="Cambri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1B862518"/>
    <w:multiLevelType w:val="multilevel"/>
    <w:tmpl w:val="7916D0B6"/>
    <w:lvl w:ilvl="0">
      <w:start w:val="1"/>
      <w:numFmt w:val="decimal"/>
      <w:lvlText w:val="%1"/>
      <w:lvlJc w:val="left"/>
      <w:pPr>
        <w:ind w:left="375" w:hanging="375"/>
      </w:pPr>
      <w:rPr>
        <w:rFonts w:hint="default"/>
      </w:rPr>
    </w:lvl>
    <w:lvl w:ilvl="1">
      <w:start w:val="1"/>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1" w15:restartNumberingAfterBreak="0">
    <w:nsid w:val="1EFB2AA1"/>
    <w:multiLevelType w:val="multilevel"/>
    <w:tmpl w:val="C0086870"/>
    <w:lvl w:ilvl="0">
      <w:start w:val="1"/>
      <w:numFmt w:val="decimal"/>
      <w:lvlText w:val="%1"/>
      <w:lvlJc w:val="left"/>
      <w:pPr>
        <w:ind w:left="720" w:hanging="360"/>
      </w:pPr>
      <w:rPr>
        <w:rFonts w:hint="default"/>
      </w:rPr>
    </w:lvl>
    <w:lvl w:ilvl="1">
      <w:start w:val="2"/>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2" w15:restartNumberingAfterBreak="0">
    <w:nsid w:val="1F360495"/>
    <w:multiLevelType w:val="multilevel"/>
    <w:tmpl w:val="7D4C3950"/>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388" w:hanging="1800"/>
      </w:pPr>
      <w:rPr>
        <w:rFonts w:hint="default"/>
      </w:rPr>
    </w:lvl>
  </w:abstractNum>
  <w:abstractNum w:abstractNumId="13" w15:restartNumberingAfterBreak="0">
    <w:nsid w:val="21172606"/>
    <w:multiLevelType w:val="hybridMultilevel"/>
    <w:tmpl w:val="0C125A6E"/>
    <w:lvl w:ilvl="0" w:tplc="DFCE8ECE">
      <w:start w:val="25"/>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1AA2EEB"/>
    <w:multiLevelType w:val="hybridMultilevel"/>
    <w:tmpl w:val="691611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15:restartNumberingAfterBreak="0">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15:restartNumberingAfterBreak="0">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17" w15:restartNumberingAfterBreak="0">
    <w:nsid w:val="304D428F"/>
    <w:multiLevelType w:val="multilevel"/>
    <w:tmpl w:val="6674EDB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8" w15:restartNumberingAfterBreak="0">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9" w15:restartNumberingAfterBreak="0">
    <w:nsid w:val="371F6680"/>
    <w:multiLevelType w:val="multilevel"/>
    <w:tmpl w:val="F900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7D4082"/>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1" w15:restartNumberingAfterBreak="0">
    <w:nsid w:val="3C8B5ED5"/>
    <w:multiLevelType w:val="hybridMultilevel"/>
    <w:tmpl w:val="1AE05DE6"/>
    <w:lvl w:ilvl="0" w:tplc="93E0A0D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2" w15:restartNumberingAfterBreak="0">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23" w15:restartNumberingAfterBreak="0">
    <w:nsid w:val="420D372E"/>
    <w:multiLevelType w:val="hybridMultilevel"/>
    <w:tmpl w:val="8AB4C5C6"/>
    <w:lvl w:ilvl="0" w:tplc="5F94417C">
      <w:start w:val="4"/>
      <w:numFmt w:val="bullet"/>
      <w:lvlText w:val="-"/>
      <w:lvlJc w:val="left"/>
      <w:pPr>
        <w:ind w:left="1788" w:hanging="360"/>
      </w:pPr>
      <w:rPr>
        <w:rFonts w:ascii="Cambria" w:eastAsia="Times New Roman" w:hAnsi="Cambria" w:cs="Times New Roman"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24" w15:restartNumberingAfterBreak="0">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5" w15:restartNumberingAfterBreak="0">
    <w:nsid w:val="46794966"/>
    <w:multiLevelType w:val="hybridMultilevel"/>
    <w:tmpl w:val="3F6A3EF6"/>
    <w:lvl w:ilvl="0" w:tplc="12A2475E">
      <w:start w:val="1"/>
      <w:numFmt w:val="decimalZero"/>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86E6288"/>
    <w:multiLevelType w:val="hybridMultilevel"/>
    <w:tmpl w:val="5D8C4F7C"/>
    <w:lvl w:ilvl="0" w:tplc="E47CFD9E">
      <w:start w:val="1"/>
      <w:numFmt w:val="decimal"/>
      <w:lvlText w:val="%1."/>
      <w:lvlJc w:val="left"/>
      <w:pPr>
        <w:ind w:left="1068" w:hanging="360"/>
      </w:pPr>
      <w:rPr>
        <w:rFonts w:hint="default"/>
        <w:b/>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4B780CE2"/>
    <w:multiLevelType w:val="hybridMultilevel"/>
    <w:tmpl w:val="642A013C"/>
    <w:lvl w:ilvl="0" w:tplc="7EC00746">
      <w:start w:val="1"/>
      <w:numFmt w:val="decimal"/>
      <w:lvlText w:val="%1."/>
      <w:lvlJc w:val="left"/>
      <w:pPr>
        <w:ind w:left="405" w:hanging="36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28" w15:restartNumberingAfterBreak="0">
    <w:nsid w:val="4D8234D4"/>
    <w:multiLevelType w:val="hybridMultilevel"/>
    <w:tmpl w:val="02503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4E3512D9"/>
    <w:multiLevelType w:val="hybridMultilevel"/>
    <w:tmpl w:val="946A0FBC"/>
    <w:lvl w:ilvl="0" w:tplc="3848A75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15:restartNumberingAfterBreak="0">
    <w:nsid w:val="573001FC"/>
    <w:multiLevelType w:val="hybridMultilevel"/>
    <w:tmpl w:val="C9740518"/>
    <w:lvl w:ilvl="0" w:tplc="E78A26E0">
      <w:start w:val="4"/>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582128F5"/>
    <w:multiLevelType w:val="hybridMultilevel"/>
    <w:tmpl w:val="832C93EA"/>
    <w:lvl w:ilvl="0" w:tplc="19F4176A">
      <w:start w:val="1"/>
      <w:numFmt w:val="decimal"/>
      <w:lvlText w:val="%1."/>
      <w:lvlJc w:val="left"/>
      <w:pPr>
        <w:ind w:left="1788" w:hanging="360"/>
      </w:pPr>
      <w:rPr>
        <w:rFonts w:asciiTheme="majorHAnsi" w:hAnsiTheme="majorHAnsi" w:hint="default"/>
        <w:sz w:val="28"/>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2" w15:restartNumberingAfterBreak="0">
    <w:nsid w:val="5BFE5894"/>
    <w:multiLevelType w:val="hybridMultilevel"/>
    <w:tmpl w:val="3CEEE6BA"/>
    <w:lvl w:ilvl="0" w:tplc="0A40B988">
      <w:start w:val="1"/>
      <w:numFmt w:val="decimalZero"/>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C52019D"/>
    <w:multiLevelType w:val="hybridMultilevel"/>
    <w:tmpl w:val="89AA9F48"/>
    <w:lvl w:ilvl="0" w:tplc="96304708">
      <w:start w:val="7"/>
      <w:numFmt w:val="bullet"/>
      <w:lvlText w:val="-"/>
      <w:lvlJc w:val="left"/>
      <w:pPr>
        <w:ind w:left="1440" w:hanging="360"/>
      </w:pPr>
      <w:rPr>
        <w:rFonts w:ascii="Calibri" w:eastAsiaTheme="minorHAnsi" w:hAnsi="Calibri" w:cstheme="minorBidi"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4" w15:restartNumberingAfterBreak="0">
    <w:nsid w:val="6165285E"/>
    <w:multiLevelType w:val="multilevel"/>
    <w:tmpl w:val="5D8E6352"/>
    <w:lvl w:ilvl="0">
      <w:start w:val="1"/>
      <w:numFmt w:val="decimal"/>
      <w:lvlText w:val="%1."/>
      <w:lvlJc w:val="left"/>
      <w:pPr>
        <w:ind w:left="1428" w:hanging="360"/>
      </w:pPr>
      <w:rPr>
        <w:rFonts w:hint="default"/>
      </w:rPr>
    </w:lvl>
    <w:lvl w:ilvl="1">
      <w:start w:val="2"/>
      <w:numFmt w:val="decimal"/>
      <w:isLgl/>
      <w:lvlText w:val="%1.%2"/>
      <w:lvlJc w:val="left"/>
      <w:pPr>
        <w:ind w:left="1488" w:hanging="4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35" w15:restartNumberingAfterBreak="0">
    <w:nsid w:val="61C04BED"/>
    <w:multiLevelType w:val="hybridMultilevel"/>
    <w:tmpl w:val="222E80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7" w15:restartNumberingAfterBreak="0">
    <w:nsid w:val="65CE685B"/>
    <w:multiLevelType w:val="hybridMultilevel"/>
    <w:tmpl w:val="275ECF6E"/>
    <w:lvl w:ilvl="0" w:tplc="944A7A8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39" w15:restartNumberingAfterBreak="0">
    <w:nsid w:val="75ED5D37"/>
    <w:multiLevelType w:val="multilevel"/>
    <w:tmpl w:val="6674EDB2"/>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40" w15:restartNumberingAfterBreak="0">
    <w:nsid w:val="7A0A2E9E"/>
    <w:multiLevelType w:val="multilevel"/>
    <w:tmpl w:val="21DAECF0"/>
    <w:lvl w:ilvl="0">
      <w:start w:val="2"/>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1" w15:restartNumberingAfterBreak="0">
    <w:nsid w:val="7C8D77DC"/>
    <w:multiLevelType w:val="hybridMultilevel"/>
    <w:tmpl w:val="6F70A102"/>
    <w:lvl w:ilvl="0" w:tplc="3884993E">
      <w:start w:val="2"/>
      <w:numFmt w:val="decimal"/>
      <w:lvlText w:val="%1."/>
      <w:lvlJc w:val="left"/>
      <w:pPr>
        <w:ind w:left="1776" w:hanging="360"/>
      </w:pPr>
      <w:rPr>
        <w:rFonts w:hint="default"/>
      </w:rPr>
    </w:lvl>
    <w:lvl w:ilvl="1" w:tplc="04020019" w:tentative="1">
      <w:start w:val="1"/>
      <w:numFmt w:val="lowerLetter"/>
      <w:lvlText w:val="%2."/>
      <w:lvlJc w:val="left"/>
      <w:pPr>
        <w:ind w:left="2496" w:hanging="360"/>
      </w:pPr>
    </w:lvl>
    <w:lvl w:ilvl="2" w:tplc="0402001B" w:tentative="1">
      <w:start w:val="1"/>
      <w:numFmt w:val="lowerRoman"/>
      <w:lvlText w:val="%3."/>
      <w:lvlJc w:val="right"/>
      <w:pPr>
        <w:ind w:left="3216" w:hanging="180"/>
      </w:pPr>
    </w:lvl>
    <w:lvl w:ilvl="3" w:tplc="0402000F" w:tentative="1">
      <w:start w:val="1"/>
      <w:numFmt w:val="decimal"/>
      <w:lvlText w:val="%4."/>
      <w:lvlJc w:val="left"/>
      <w:pPr>
        <w:ind w:left="3936" w:hanging="360"/>
      </w:pPr>
    </w:lvl>
    <w:lvl w:ilvl="4" w:tplc="04020019" w:tentative="1">
      <w:start w:val="1"/>
      <w:numFmt w:val="lowerLetter"/>
      <w:lvlText w:val="%5."/>
      <w:lvlJc w:val="left"/>
      <w:pPr>
        <w:ind w:left="4656" w:hanging="360"/>
      </w:pPr>
    </w:lvl>
    <w:lvl w:ilvl="5" w:tplc="0402001B" w:tentative="1">
      <w:start w:val="1"/>
      <w:numFmt w:val="lowerRoman"/>
      <w:lvlText w:val="%6."/>
      <w:lvlJc w:val="right"/>
      <w:pPr>
        <w:ind w:left="5376" w:hanging="180"/>
      </w:pPr>
    </w:lvl>
    <w:lvl w:ilvl="6" w:tplc="0402000F" w:tentative="1">
      <w:start w:val="1"/>
      <w:numFmt w:val="decimal"/>
      <w:lvlText w:val="%7."/>
      <w:lvlJc w:val="left"/>
      <w:pPr>
        <w:ind w:left="6096" w:hanging="360"/>
      </w:pPr>
    </w:lvl>
    <w:lvl w:ilvl="7" w:tplc="04020019" w:tentative="1">
      <w:start w:val="1"/>
      <w:numFmt w:val="lowerLetter"/>
      <w:lvlText w:val="%8."/>
      <w:lvlJc w:val="left"/>
      <w:pPr>
        <w:ind w:left="6816" w:hanging="360"/>
      </w:pPr>
    </w:lvl>
    <w:lvl w:ilvl="8" w:tplc="0402001B" w:tentative="1">
      <w:start w:val="1"/>
      <w:numFmt w:val="lowerRoman"/>
      <w:lvlText w:val="%9."/>
      <w:lvlJc w:val="right"/>
      <w:pPr>
        <w:ind w:left="7536" w:hanging="180"/>
      </w:pPr>
    </w:lvl>
  </w:abstractNum>
  <w:num w:numId="1">
    <w:abstractNumId w:val="15"/>
  </w:num>
  <w:num w:numId="2">
    <w:abstractNumId w:val="38"/>
  </w:num>
  <w:num w:numId="3">
    <w:abstractNumId w:val="22"/>
  </w:num>
  <w:num w:numId="4">
    <w:abstractNumId w:val="3"/>
  </w:num>
  <w:num w:numId="5">
    <w:abstractNumId w:val="16"/>
  </w:num>
  <w:num w:numId="6">
    <w:abstractNumId w:val="5"/>
  </w:num>
  <w:num w:numId="7">
    <w:abstractNumId w:val="36"/>
  </w:num>
  <w:num w:numId="8">
    <w:abstractNumId w:val="18"/>
  </w:num>
  <w:num w:numId="9">
    <w:abstractNumId w:val="6"/>
  </w:num>
  <w:num w:numId="10">
    <w:abstractNumId w:val="8"/>
  </w:num>
  <w:num w:numId="11">
    <w:abstractNumId w:val="24"/>
  </w:num>
  <w:num w:numId="12">
    <w:abstractNumId w:val="7"/>
  </w:num>
  <w:num w:numId="13">
    <w:abstractNumId w:val="25"/>
  </w:num>
  <w:num w:numId="14">
    <w:abstractNumId w:val="32"/>
  </w:num>
  <w:num w:numId="15">
    <w:abstractNumId w:val="2"/>
  </w:num>
  <w:num w:numId="16">
    <w:abstractNumId w:val="1"/>
  </w:num>
  <w:num w:numId="17">
    <w:abstractNumId w:val="35"/>
  </w:num>
  <w:num w:numId="18">
    <w:abstractNumId w:val="28"/>
  </w:num>
  <w:num w:numId="19">
    <w:abstractNumId w:val="12"/>
  </w:num>
  <w:num w:numId="20">
    <w:abstractNumId w:val="23"/>
  </w:num>
  <w:num w:numId="21">
    <w:abstractNumId w:val="30"/>
  </w:num>
  <w:num w:numId="22">
    <w:abstractNumId w:val="0"/>
  </w:num>
  <w:num w:numId="23">
    <w:abstractNumId w:val="19"/>
  </w:num>
  <w:num w:numId="24">
    <w:abstractNumId w:val="21"/>
  </w:num>
  <w:num w:numId="25">
    <w:abstractNumId w:val="39"/>
  </w:num>
  <w:num w:numId="26">
    <w:abstractNumId w:val="20"/>
  </w:num>
  <w:num w:numId="27">
    <w:abstractNumId w:val="9"/>
  </w:num>
  <w:num w:numId="28">
    <w:abstractNumId w:val="29"/>
  </w:num>
  <w:num w:numId="29">
    <w:abstractNumId w:val="13"/>
  </w:num>
  <w:num w:numId="30">
    <w:abstractNumId w:val="34"/>
  </w:num>
  <w:num w:numId="31">
    <w:abstractNumId w:val="11"/>
  </w:num>
  <w:num w:numId="32">
    <w:abstractNumId w:val="14"/>
  </w:num>
  <w:num w:numId="33">
    <w:abstractNumId w:val="26"/>
  </w:num>
  <w:num w:numId="34">
    <w:abstractNumId w:val="40"/>
  </w:num>
  <w:num w:numId="35">
    <w:abstractNumId w:val="31"/>
  </w:num>
  <w:num w:numId="36">
    <w:abstractNumId w:val="4"/>
  </w:num>
  <w:num w:numId="37">
    <w:abstractNumId w:val="37"/>
  </w:num>
  <w:num w:numId="38">
    <w:abstractNumId w:val="41"/>
  </w:num>
  <w:num w:numId="39">
    <w:abstractNumId w:val="17"/>
  </w:num>
  <w:num w:numId="40">
    <w:abstractNumId w:val="33"/>
  </w:num>
  <w:num w:numId="41">
    <w:abstractNumId w:val="2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84"/>
    <w:rsid w:val="00000D63"/>
    <w:rsid w:val="00002A24"/>
    <w:rsid w:val="00003F4F"/>
    <w:rsid w:val="000054E9"/>
    <w:rsid w:val="00006127"/>
    <w:rsid w:val="0000693E"/>
    <w:rsid w:val="00010E90"/>
    <w:rsid w:val="0001113F"/>
    <w:rsid w:val="00011555"/>
    <w:rsid w:val="0001275A"/>
    <w:rsid w:val="00013188"/>
    <w:rsid w:val="000152C0"/>
    <w:rsid w:val="00017FD7"/>
    <w:rsid w:val="00022C27"/>
    <w:rsid w:val="00024AC9"/>
    <w:rsid w:val="0002756E"/>
    <w:rsid w:val="00030618"/>
    <w:rsid w:val="00030626"/>
    <w:rsid w:val="00034E64"/>
    <w:rsid w:val="0003559E"/>
    <w:rsid w:val="0004092A"/>
    <w:rsid w:val="000410F1"/>
    <w:rsid w:val="000416DA"/>
    <w:rsid w:val="00043522"/>
    <w:rsid w:val="0004427B"/>
    <w:rsid w:val="00045794"/>
    <w:rsid w:val="00045CF0"/>
    <w:rsid w:val="00047325"/>
    <w:rsid w:val="000478DE"/>
    <w:rsid w:val="000507BB"/>
    <w:rsid w:val="00050FAD"/>
    <w:rsid w:val="000523ED"/>
    <w:rsid w:val="00053CC4"/>
    <w:rsid w:val="00056733"/>
    <w:rsid w:val="00057AE5"/>
    <w:rsid w:val="00060F62"/>
    <w:rsid w:val="0006486E"/>
    <w:rsid w:val="00066C19"/>
    <w:rsid w:val="00066F23"/>
    <w:rsid w:val="00067CB0"/>
    <w:rsid w:val="000728A4"/>
    <w:rsid w:val="00072E0B"/>
    <w:rsid w:val="00081A71"/>
    <w:rsid w:val="000842A0"/>
    <w:rsid w:val="00084DD0"/>
    <w:rsid w:val="00085F10"/>
    <w:rsid w:val="00086FBC"/>
    <w:rsid w:val="00092B0D"/>
    <w:rsid w:val="00095044"/>
    <w:rsid w:val="00095636"/>
    <w:rsid w:val="000971B0"/>
    <w:rsid w:val="000A3D56"/>
    <w:rsid w:val="000A5EFC"/>
    <w:rsid w:val="000A6FA7"/>
    <w:rsid w:val="000B05C6"/>
    <w:rsid w:val="000B2188"/>
    <w:rsid w:val="000B4FD2"/>
    <w:rsid w:val="000B5DAC"/>
    <w:rsid w:val="000B5F16"/>
    <w:rsid w:val="000B6BAB"/>
    <w:rsid w:val="000C0824"/>
    <w:rsid w:val="000C1E34"/>
    <w:rsid w:val="000C25AD"/>
    <w:rsid w:val="000C379C"/>
    <w:rsid w:val="000C5D8A"/>
    <w:rsid w:val="000D0201"/>
    <w:rsid w:val="000D0A17"/>
    <w:rsid w:val="000D133B"/>
    <w:rsid w:val="000E0546"/>
    <w:rsid w:val="000E235B"/>
    <w:rsid w:val="000E3070"/>
    <w:rsid w:val="000E356B"/>
    <w:rsid w:val="000E3674"/>
    <w:rsid w:val="000F0C79"/>
    <w:rsid w:val="000F0D00"/>
    <w:rsid w:val="000F156B"/>
    <w:rsid w:val="000F4F1F"/>
    <w:rsid w:val="000F58A1"/>
    <w:rsid w:val="000F5917"/>
    <w:rsid w:val="000F74A7"/>
    <w:rsid w:val="000F7DEC"/>
    <w:rsid w:val="00100585"/>
    <w:rsid w:val="00101A84"/>
    <w:rsid w:val="0010391E"/>
    <w:rsid w:val="001045A0"/>
    <w:rsid w:val="001067BD"/>
    <w:rsid w:val="001125C1"/>
    <w:rsid w:val="00116D9B"/>
    <w:rsid w:val="001229C6"/>
    <w:rsid w:val="0012375E"/>
    <w:rsid w:val="00127A87"/>
    <w:rsid w:val="00127D6A"/>
    <w:rsid w:val="00130280"/>
    <w:rsid w:val="00134504"/>
    <w:rsid w:val="0013452A"/>
    <w:rsid w:val="001353E7"/>
    <w:rsid w:val="00136BD1"/>
    <w:rsid w:val="001372D1"/>
    <w:rsid w:val="00137F35"/>
    <w:rsid w:val="00140756"/>
    <w:rsid w:val="00140A48"/>
    <w:rsid w:val="00143186"/>
    <w:rsid w:val="00151C32"/>
    <w:rsid w:val="00154ACB"/>
    <w:rsid w:val="00155DD4"/>
    <w:rsid w:val="00157748"/>
    <w:rsid w:val="0015787C"/>
    <w:rsid w:val="001614A4"/>
    <w:rsid w:val="001626D6"/>
    <w:rsid w:val="00164F97"/>
    <w:rsid w:val="001660BE"/>
    <w:rsid w:val="00166B10"/>
    <w:rsid w:val="001743D8"/>
    <w:rsid w:val="001749DF"/>
    <w:rsid w:val="00177D84"/>
    <w:rsid w:val="00180755"/>
    <w:rsid w:val="00190242"/>
    <w:rsid w:val="0019109D"/>
    <w:rsid w:val="00193274"/>
    <w:rsid w:val="00193725"/>
    <w:rsid w:val="00195878"/>
    <w:rsid w:val="001962B7"/>
    <w:rsid w:val="001A1071"/>
    <w:rsid w:val="001A1195"/>
    <w:rsid w:val="001A1D07"/>
    <w:rsid w:val="001A3BCF"/>
    <w:rsid w:val="001A3F11"/>
    <w:rsid w:val="001A42CD"/>
    <w:rsid w:val="001A49C3"/>
    <w:rsid w:val="001A790C"/>
    <w:rsid w:val="001B060C"/>
    <w:rsid w:val="001B0C39"/>
    <w:rsid w:val="001C1E60"/>
    <w:rsid w:val="001C1EAE"/>
    <w:rsid w:val="001C2585"/>
    <w:rsid w:val="001C640D"/>
    <w:rsid w:val="001C7639"/>
    <w:rsid w:val="001C79A6"/>
    <w:rsid w:val="001D1300"/>
    <w:rsid w:val="001D2FA5"/>
    <w:rsid w:val="001D3640"/>
    <w:rsid w:val="001D4E4D"/>
    <w:rsid w:val="001D5774"/>
    <w:rsid w:val="001D594D"/>
    <w:rsid w:val="001D7D50"/>
    <w:rsid w:val="001E06B7"/>
    <w:rsid w:val="001E2A36"/>
    <w:rsid w:val="001E448C"/>
    <w:rsid w:val="001E4847"/>
    <w:rsid w:val="001E5CC2"/>
    <w:rsid w:val="001E7832"/>
    <w:rsid w:val="001E7C52"/>
    <w:rsid w:val="001F0F91"/>
    <w:rsid w:val="001F3530"/>
    <w:rsid w:val="001F67EB"/>
    <w:rsid w:val="001F7953"/>
    <w:rsid w:val="00200866"/>
    <w:rsid w:val="00200C94"/>
    <w:rsid w:val="00202078"/>
    <w:rsid w:val="002040D9"/>
    <w:rsid w:val="00204BB4"/>
    <w:rsid w:val="00207053"/>
    <w:rsid w:val="00207CEC"/>
    <w:rsid w:val="002109E7"/>
    <w:rsid w:val="00210EAD"/>
    <w:rsid w:val="00212254"/>
    <w:rsid w:val="00220032"/>
    <w:rsid w:val="0022080A"/>
    <w:rsid w:val="002213B1"/>
    <w:rsid w:val="00221C72"/>
    <w:rsid w:val="00224C00"/>
    <w:rsid w:val="0022510B"/>
    <w:rsid w:val="00225374"/>
    <w:rsid w:val="00226022"/>
    <w:rsid w:val="0023057B"/>
    <w:rsid w:val="0024042C"/>
    <w:rsid w:val="00242433"/>
    <w:rsid w:val="00242C49"/>
    <w:rsid w:val="00243911"/>
    <w:rsid w:val="0024712F"/>
    <w:rsid w:val="002474F7"/>
    <w:rsid w:val="00247614"/>
    <w:rsid w:val="0025055E"/>
    <w:rsid w:val="00253E20"/>
    <w:rsid w:val="00253FBC"/>
    <w:rsid w:val="00254EAF"/>
    <w:rsid w:val="002609A3"/>
    <w:rsid w:val="00262A43"/>
    <w:rsid w:val="00265FC6"/>
    <w:rsid w:val="00267F39"/>
    <w:rsid w:val="00270539"/>
    <w:rsid w:val="00270DA7"/>
    <w:rsid w:val="002711C3"/>
    <w:rsid w:val="00271EBE"/>
    <w:rsid w:val="00273859"/>
    <w:rsid w:val="00273E9A"/>
    <w:rsid w:val="00275840"/>
    <w:rsid w:val="0028233B"/>
    <w:rsid w:val="00286E04"/>
    <w:rsid w:val="00292FB9"/>
    <w:rsid w:val="0029397B"/>
    <w:rsid w:val="00296B63"/>
    <w:rsid w:val="002A1E6F"/>
    <w:rsid w:val="002A2000"/>
    <w:rsid w:val="002A566E"/>
    <w:rsid w:val="002A6052"/>
    <w:rsid w:val="002A6283"/>
    <w:rsid w:val="002A6284"/>
    <w:rsid w:val="002A6502"/>
    <w:rsid w:val="002A6BD2"/>
    <w:rsid w:val="002A7960"/>
    <w:rsid w:val="002B0E05"/>
    <w:rsid w:val="002B1760"/>
    <w:rsid w:val="002B2376"/>
    <w:rsid w:val="002B3729"/>
    <w:rsid w:val="002B3D88"/>
    <w:rsid w:val="002B7B97"/>
    <w:rsid w:val="002B7EA5"/>
    <w:rsid w:val="002C52F8"/>
    <w:rsid w:val="002C6491"/>
    <w:rsid w:val="002C6958"/>
    <w:rsid w:val="002C7147"/>
    <w:rsid w:val="002D1421"/>
    <w:rsid w:val="002D18E6"/>
    <w:rsid w:val="002D3358"/>
    <w:rsid w:val="002D69BA"/>
    <w:rsid w:val="002E0B87"/>
    <w:rsid w:val="002E28F0"/>
    <w:rsid w:val="002E43B0"/>
    <w:rsid w:val="002E48A2"/>
    <w:rsid w:val="002E5D9C"/>
    <w:rsid w:val="002E6E45"/>
    <w:rsid w:val="002E77D6"/>
    <w:rsid w:val="002F23FE"/>
    <w:rsid w:val="002F5CF3"/>
    <w:rsid w:val="002F6472"/>
    <w:rsid w:val="002F7A7F"/>
    <w:rsid w:val="00301610"/>
    <w:rsid w:val="003037ED"/>
    <w:rsid w:val="003052EA"/>
    <w:rsid w:val="00305696"/>
    <w:rsid w:val="00307BCB"/>
    <w:rsid w:val="00312779"/>
    <w:rsid w:val="003135C8"/>
    <w:rsid w:val="00316198"/>
    <w:rsid w:val="0032007A"/>
    <w:rsid w:val="003202B9"/>
    <w:rsid w:val="00321A29"/>
    <w:rsid w:val="003230F7"/>
    <w:rsid w:val="003249CD"/>
    <w:rsid w:val="0032734F"/>
    <w:rsid w:val="003301BC"/>
    <w:rsid w:val="00330DBD"/>
    <w:rsid w:val="003418BF"/>
    <w:rsid w:val="00344839"/>
    <w:rsid w:val="00352146"/>
    <w:rsid w:val="00355941"/>
    <w:rsid w:val="003562FA"/>
    <w:rsid w:val="00357002"/>
    <w:rsid w:val="00360FC0"/>
    <w:rsid w:val="00363B08"/>
    <w:rsid w:val="00364539"/>
    <w:rsid w:val="00364EEC"/>
    <w:rsid w:val="00366878"/>
    <w:rsid w:val="00373B00"/>
    <w:rsid w:val="00374BC4"/>
    <w:rsid w:val="003857AC"/>
    <w:rsid w:val="00393E2F"/>
    <w:rsid w:val="003943C6"/>
    <w:rsid w:val="003947C0"/>
    <w:rsid w:val="00395710"/>
    <w:rsid w:val="003A08C0"/>
    <w:rsid w:val="003A1FA3"/>
    <w:rsid w:val="003A267F"/>
    <w:rsid w:val="003A2E06"/>
    <w:rsid w:val="003A3495"/>
    <w:rsid w:val="003A6835"/>
    <w:rsid w:val="003A7AFE"/>
    <w:rsid w:val="003B159E"/>
    <w:rsid w:val="003B634C"/>
    <w:rsid w:val="003B67A2"/>
    <w:rsid w:val="003B70CB"/>
    <w:rsid w:val="003C0DA4"/>
    <w:rsid w:val="003C298B"/>
    <w:rsid w:val="003C33F7"/>
    <w:rsid w:val="003C4602"/>
    <w:rsid w:val="003C5054"/>
    <w:rsid w:val="003D19DB"/>
    <w:rsid w:val="003D33EF"/>
    <w:rsid w:val="003E2F37"/>
    <w:rsid w:val="003E5A04"/>
    <w:rsid w:val="003E718A"/>
    <w:rsid w:val="003E733F"/>
    <w:rsid w:val="003E7385"/>
    <w:rsid w:val="003F0071"/>
    <w:rsid w:val="003F0FEB"/>
    <w:rsid w:val="003F34FF"/>
    <w:rsid w:val="003F3E93"/>
    <w:rsid w:val="003F7E98"/>
    <w:rsid w:val="004018F0"/>
    <w:rsid w:val="00402945"/>
    <w:rsid w:val="00404834"/>
    <w:rsid w:val="00406A94"/>
    <w:rsid w:val="00407F0D"/>
    <w:rsid w:val="00412A98"/>
    <w:rsid w:val="00415940"/>
    <w:rsid w:val="00416994"/>
    <w:rsid w:val="0041769F"/>
    <w:rsid w:val="00417922"/>
    <w:rsid w:val="00417F90"/>
    <w:rsid w:val="00420F20"/>
    <w:rsid w:val="004228A4"/>
    <w:rsid w:val="00423DD2"/>
    <w:rsid w:val="0042430A"/>
    <w:rsid w:val="00427BC0"/>
    <w:rsid w:val="00427D56"/>
    <w:rsid w:val="00433472"/>
    <w:rsid w:val="00434EF3"/>
    <w:rsid w:val="00435DB9"/>
    <w:rsid w:val="0043642D"/>
    <w:rsid w:val="004400D6"/>
    <w:rsid w:val="0044087E"/>
    <w:rsid w:val="00440A00"/>
    <w:rsid w:val="00442DF4"/>
    <w:rsid w:val="00444F2A"/>
    <w:rsid w:val="004468A0"/>
    <w:rsid w:val="004476E1"/>
    <w:rsid w:val="00451B64"/>
    <w:rsid w:val="00452078"/>
    <w:rsid w:val="00455294"/>
    <w:rsid w:val="00456704"/>
    <w:rsid w:val="0046146F"/>
    <w:rsid w:val="00461D5A"/>
    <w:rsid w:val="004623F7"/>
    <w:rsid w:val="0046373F"/>
    <w:rsid w:val="00471AFF"/>
    <w:rsid w:val="00473391"/>
    <w:rsid w:val="00474770"/>
    <w:rsid w:val="00476240"/>
    <w:rsid w:val="00476C51"/>
    <w:rsid w:val="00480732"/>
    <w:rsid w:val="00481244"/>
    <w:rsid w:val="0048248B"/>
    <w:rsid w:val="00485764"/>
    <w:rsid w:val="0049116B"/>
    <w:rsid w:val="004964E5"/>
    <w:rsid w:val="00496615"/>
    <w:rsid w:val="00497234"/>
    <w:rsid w:val="004A441F"/>
    <w:rsid w:val="004A4921"/>
    <w:rsid w:val="004A69DF"/>
    <w:rsid w:val="004B1140"/>
    <w:rsid w:val="004B1E22"/>
    <w:rsid w:val="004B314D"/>
    <w:rsid w:val="004B33D4"/>
    <w:rsid w:val="004B3CD1"/>
    <w:rsid w:val="004B402F"/>
    <w:rsid w:val="004B48DE"/>
    <w:rsid w:val="004B4CE9"/>
    <w:rsid w:val="004B4D19"/>
    <w:rsid w:val="004B6BEC"/>
    <w:rsid w:val="004B6E04"/>
    <w:rsid w:val="004C1B54"/>
    <w:rsid w:val="004C45E1"/>
    <w:rsid w:val="004D1A00"/>
    <w:rsid w:val="004D3270"/>
    <w:rsid w:val="004D3413"/>
    <w:rsid w:val="004D42B4"/>
    <w:rsid w:val="004D4532"/>
    <w:rsid w:val="004D68F4"/>
    <w:rsid w:val="004D79CF"/>
    <w:rsid w:val="004E2028"/>
    <w:rsid w:val="004E3DBD"/>
    <w:rsid w:val="004E6903"/>
    <w:rsid w:val="004E6C8A"/>
    <w:rsid w:val="004F0090"/>
    <w:rsid w:val="004F06DD"/>
    <w:rsid w:val="004F0E31"/>
    <w:rsid w:val="004F3691"/>
    <w:rsid w:val="004F5A2C"/>
    <w:rsid w:val="0050040F"/>
    <w:rsid w:val="00501B5D"/>
    <w:rsid w:val="00501CB7"/>
    <w:rsid w:val="00502F2F"/>
    <w:rsid w:val="0050607C"/>
    <w:rsid w:val="005061FD"/>
    <w:rsid w:val="00507496"/>
    <w:rsid w:val="0050781E"/>
    <w:rsid w:val="00515F35"/>
    <w:rsid w:val="00520038"/>
    <w:rsid w:val="00520AFF"/>
    <w:rsid w:val="0052288E"/>
    <w:rsid w:val="00524173"/>
    <w:rsid w:val="005324D6"/>
    <w:rsid w:val="00533D31"/>
    <w:rsid w:val="00534455"/>
    <w:rsid w:val="00535EFE"/>
    <w:rsid w:val="00536065"/>
    <w:rsid w:val="00536583"/>
    <w:rsid w:val="00536A5E"/>
    <w:rsid w:val="00537CE9"/>
    <w:rsid w:val="00540537"/>
    <w:rsid w:val="00540FEF"/>
    <w:rsid w:val="0054132D"/>
    <w:rsid w:val="005460F0"/>
    <w:rsid w:val="00552A66"/>
    <w:rsid w:val="005549CF"/>
    <w:rsid w:val="00555EFE"/>
    <w:rsid w:val="00557647"/>
    <w:rsid w:val="00564A9D"/>
    <w:rsid w:val="00565284"/>
    <w:rsid w:val="0056754D"/>
    <w:rsid w:val="00570225"/>
    <w:rsid w:val="005721EC"/>
    <w:rsid w:val="00572ACC"/>
    <w:rsid w:val="005745A6"/>
    <w:rsid w:val="00576ED9"/>
    <w:rsid w:val="005808B5"/>
    <w:rsid w:val="00581010"/>
    <w:rsid w:val="0058548C"/>
    <w:rsid w:val="00587BB5"/>
    <w:rsid w:val="00591E8D"/>
    <w:rsid w:val="00592699"/>
    <w:rsid w:val="00593F7F"/>
    <w:rsid w:val="00597587"/>
    <w:rsid w:val="00597C0B"/>
    <w:rsid w:val="005A2BED"/>
    <w:rsid w:val="005A52D9"/>
    <w:rsid w:val="005A657D"/>
    <w:rsid w:val="005A737B"/>
    <w:rsid w:val="005A7D8C"/>
    <w:rsid w:val="005B2039"/>
    <w:rsid w:val="005B3EB4"/>
    <w:rsid w:val="005B41B0"/>
    <w:rsid w:val="005B4EB5"/>
    <w:rsid w:val="005B6870"/>
    <w:rsid w:val="005B6C06"/>
    <w:rsid w:val="005B6DF3"/>
    <w:rsid w:val="005C32AF"/>
    <w:rsid w:val="005C3A12"/>
    <w:rsid w:val="005C4660"/>
    <w:rsid w:val="005C4C14"/>
    <w:rsid w:val="005D18FC"/>
    <w:rsid w:val="005D3765"/>
    <w:rsid w:val="005D58CA"/>
    <w:rsid w:val="005D6C8D"/>
    <w:rsid w:val="005D7776"/>
    <w:rsid w:val="005D7CE7"/>
    <w:rsid w:val="005E02E5"/>
    <w:rsid w:val="005E1CA0"/>
    <w:rsid w:val="005F059D"/>
    <w:rsid w:val="005F25B2"/>
    <w:rsid w:val="005F6CDF"/>
    <w:rsid w:val="0060109B"/>
    <w:rsid w:val="006041D3"/>
    <w:rsid w:val="00610669"/>
    <w:rsid w:val="0061681E"/>
    <w:rsid w:val="00622AB9"/>
    <w:rsid w:val="006248D7"/>
    <w:rsid w:val="0063210B"/>
    <w:rsid w:val="00632365"/>
    <w:rsid w:val="00636D46"/>
    <w:rsid w:val="006371D4"/>
    <w:rsid w:val="0063778D"/>
    <w:rsid w:val="006404F6"/>
    <w:rsid w:val="00645823"/>
    <w:rsid w:val="00652C44"/>
    <w:rsid w:val="006540EF"/>
    <w:rsid w:val="0065458E"/>
    <w:rsid w:val="0065528B"/>
    <w:rsid w:val="00656C4F"/>
    <w:rsid w:val="00657E8F"/>
    <w:rsid w:val="00667644"/>
    <w:rsid w:val="00667737"/>
    <w:rsid w:val="0067022A"/>
    <w:rsid w:val="0067177C"/>
    <w:rsid w:val="006717EA"/>
    <w:rsid w:val="006738F3"/>
    <w:rsid w:val="006775BD"/>
    <w:rsid w:val="0068258B"/>
    <w:rsid w:val="00683797"/>
    <w:rsid w:val="00685D7D"/>
    <w:rsid w:val="00685D84"/>
    <w:rsid w:val="00691CA5"/>
    <w:rsid w:val="00691D39"/>
    <w:rsid w:val="00692FA2"/>
    <w:rsid w:val="00693FF5"/>
    <w:rsid w:val="00694B03"/>
    <w:rsid w:val="00695226"/>
    <w:rsid w:val="0069559B"/>
    <w:rsid w:val="00695D73"/>
    <w:rsid w:val="006960AE"/>
    <w:rsid w:val="00697E88"/>
    <w:rsid w:val="006A2A0D"/>
    <w:rsid w:val="006A314B"/>
    <w:rsid w:val="006A4609"/>
    <w:rsid w:val="006A498B"/>
    <w:rsid w:val="006A5C89"/>
    <w:rsid w:val="006A5D3C"/>
    <w:rsid w:val="006A7EAD"/>
    <w:rsid w:val="006B5C19"/>
    <w:rsid w:val="006C1C41"/>
    <w:rsid w:val="006C2A88"/>
    <w:rsid w:val="006C3D72"/>
    <w:rsid w:val="006D017F"/>
    <w:rsid w:val="006D11F5"/>
    <w:rsid w:val="006D1279"/>
    <w:rsid w:val="006D79BE"/>
    <w:rsid w:val="006E04B9"/>
    <w:rsid w:val="006E15FC"/>
    <w:rsid w:val="006E1BC2"/>
    <w:rsid w:val="006E2AC2"/>
    <w:rsid w:val="006E2C79"/>
    <w:rsid w:val="006E6A0C"/>
    <w:rsid w:val="006F0042"/>
    <w:rsid w:val="006F0989"/>
    <w:rsid w:val="00701057"/>
    <w:rsid w:val="00705579"/>
    <w:rsid w:val="00705C66"/>
    <w:rsid w:val="0070621A"/>
    <w:rsid w:val="007065B1"/>
    <w:rsid w:val="00714C50"/>
    <w:rsid w:val="00716CFA"/>
    <w:rsid w:val="00716F7B"/>
    <w:rsid w:val="007201DE"/>
    <w:rsid w:val="0072169C"/>
    <w:rsid w:val="0072223B"/>
    <w:rsid w:val="007258BF"/>
    <w:rsid w:val="00725B6F"/>
    <w:rsid w:val="00725BE2"/>
    <w:rsid w:val="00726CF7"/>
    <w:rsid w:val="0073286D"/>
    <w:rsid w:val="007334B6"/>
    <w:rsid w:val="00735EFD"/>
    <w:rsid w:val="00737246"/>
    <w:rsid w:val="00737784"/>
    <w:rsid w:val="00737B7B"/>
    <w:rsid w:val="00740322"/>
    <w:rsid w:val="007407EE"/>
    <w:rsid w:val="007432FB"/>
    <w:rsid w:val="00746EFA"/>
    <w:rsid w:val="007479E5"/>
    <w:rsid w:val="00750A81"/>
    <w:rsid w:val="00751387"/>
    <w:rsid w:val="0075284B"/>
    <w:rsid w:val="00752DA1"/>
    <w:rsid w:val="00754C4B"/>
    <w:rsid w:val="007565E2"/>
    <w:rsid w:val="007568BA"/>
    <w:rsid w:val="0075752A"/>
    <w:rsid w:val="00760D77"/>
    <w:rsid w:val="00762402"/>
    <w:rsid w:val="0076496D"/>
    <w:rsid w:val="007717FF"/>
    <w:rsid w:val="007725F7"/>
    <w:rsid w:val="00772D16"/>
    <w:rsid w:val="00774985"/>
    <w:rsid w:val="00782271"/>
    <w:rsid w:val="00784FB8"/>
    <w:rsid w:val="0079020F"/>
    <w:rsid w:val="00793348"/>
    <w:rsid w:val="00793615"/>
    <w:rsid w:val="007947F4"/>
    <w:rsid w:val="007A3B56"/>
    <w:rsid w:val="007A41AF"/>
    <w:rsid w:val="007A65BD"/>
    <w:rsid w:val="007B19B8"/>
    <w:rsid w:val="007B25E4"/>
    <w:rsid w:val="007B3481"/>
    <w:rsid w:val="007B4893"/>
    <w:rsid w:val="007B71CB"/>
    <w:rsid w:val="007C0D40"/>
    <w:rsid w:val="007C3967"/>
    <w:rsid w:val="007C3F8C"/>
    <w:rsid w:val="007C59BC"/>
    <w:rsid w:val="007C7E13"/>
    <w:rsid w:val="007D2EBC"/>
    <w:rsid w:val="007D30F4"/>
    <w:rsid w:val="007D691F"/>
    <w:rsid w:val="007D6D1A"/>
    <w:rsid w:val="007D7F40"/>
    <w:rsid w:val="007F1437"/>
    <w:rsid w:val="007F18BD"/>
    <w:rsid w:val="007F1C98"/>
    <w:rsid w:val="007F1D3F"/>
    <w:rsid w:val="007F24ED"/>
    <w:rsid w:val="007F67AF"/>
    <w:rsid w:val="007F7C8E"/>
    <w:rsid w:val="00800404"/>
    <w:rsid w:val="00802C03"/>
    <w:rsid w:val="00803100"/>
    <w:rsid w:val="00804016"/>
    <w:rsid w:val="00804179"/>
    <w:rsid w:val="00804611"/>
    <w:rsid w:val="00804D4C"/>
    <w:rsid w:val="00805648"/>
    <w:rsid w:val="00806402"/>
    <w:rsid w:val="008078AB"/>
    <w:rsid w:val="00811F24"/>
    <w:rsid w:val="00815321"/>
    <w:rsid w:val="00815AAC"/>
    <w:rsid w:val="00815EEA"/>
    <w:rsid w:val="008161DA"/>
    <w:rsid w:val="0081626C"/>
    <w:rsid w:val="0082427B"/>
    <w:rsid w:val="008244FB"/>
    <w:rsid w:val="00826A07"/>
    <w:rsid w:val="00827F43"/>
    <w:rsid w:val="00836779"/>
    <w:rsid w:val="008435E5"/>
    <w:rsid w:val="00844CC9"/>
    <w:rsid w:val="00845EE9"/>
    <w:rsid w:val="00852053"/>
    <w:rsid w:val="0085275A"/>
    <w:rsid w:val="00852FB8"/>
    <w:rsid w:val="00853374"/>
    <w:rsid w:val="008544B6"/>
    <w:rsid w:val="00854C6C"/>
    <w:rsid w:val="00856877"/>
    <w:rsid w:val="00857FB5"/>
    <w:rsid w:val="00862B7F"/>
    <w:rsid w:val="00866788"/>
    <w:rsid w:val="008679FA"/>
    <w:rsid w:val="0087236C"/>
    <w:rsid w:val="008739F1"/>
    <w:rsid w:val="00876439"/>
    <w:rsid w:val="008774F5"/>
    <w:rsid w:val="00880DB2"/>
    <w:rsid w:val="0088138B"/>
    <w:rsid w:val="00886015"/>
    <w:rsid w:val="00894D8C"/>
    <w:rsid w:val="00895BB1"/>
    <w:rsid w:val="008A2A31"/>
    <w:rsid w:val="008A410C"/>
    <w:rsid w:val="008A4354"/>
    <w:rsid w:val="008A6784"/>
    <w:rsid w:val="008A7F4E"/>
    <w:rsid w:val="008B0D06"/>
    <w:rsid w:val="008B0F82"/>
    <w:rsid w:val="008B2CAA"/>
    <w:rsid w:val="008B4753"/>
    <w:rsid w:val="008B6D48"/>
    <w:rsid w:val="008D3184"/>
    <w:rsid w:val="008D4252"/>
    <w:rsid w:val="008D68C6"/>
    <w:rsid w:val="008D745F"/>
    <w:rsid w:val="008D77AF"/>
    <w:rsid w:val="008D78B1"/>
    <w:rsid w:val="008E0BC1"/>
    <w:rsid w:val="008E3EA8"/>
    <w:rsid w:val="008F0243"/>
    <w:rsid w:val="008F28D2"/>
    <w:rsid w:val="008F646E"/>
    <w:rsid w:val="008F65C7"/>
    <w:rsid w:val="008F67B3"/>
    <w:rsid w:val="008F773A"/>
    <w:rsid w:val="009008DB"/>
    <w:rsid w:val="00903270"/>
    <w:rsid w:val="00903BC9"/>
    <w:rsid w:val="0090545F"/>
    <w:rsid w:val="009070FF"/>
    <w:rsid w:val="0091004C"/>
    <w:rsid w:val="00911570"/>
    <w:rsid w:val="00914771"/>
    <w:rsid w:val="00915B11"/>
    <w:rsid w:val="009169CD"/>
    <w:rsid w:val="00917943"/>
    <w:rsid w:val="009205C9"/>
    <w:rsid w:val="00921B9B"/>
    <w:rsid w:val="009221D6"/>
    <w:rsid w:val="009222CF"/>
    <w:rsid w:val="00927EBD"/>
    <w:rsid w:val="009301A1"/>
    <w:rsid w:val="00932048"/>
    <w:rsid w:val="00935091"/>
    <w:rsid w:val="009407D1"/>
    <w:rsid w:val="009433BA"/>
    <w:rsid w:val="00944F9A"/>
    <w:rsid w:val="009466E6"/>
    <w:rsid w:val="0095380E"/>
    <w:rsid w:val="0095405E"/>
    <w:rsid w:val="00957699"/>
    <w:rsid w:val="009601E7"/>
    <w:rsid w:val="00960B4F"/>
    <w:rsid w:val="00960D09"/>
    <w:rsid w:val="0096296A"/>
    <w:rsid w:val="00963411"/>
    <w:rsid w:val="00965378"/>
    <w:rsid w:val="0096655F"/>
    <w:rsid w:val="009672E5"/>
    <w:rsid w:val="00977723"/>
    <w:rsid w:val="00981094"/>
    <w:rsid w:val="009902F2"/>
    <w:rsid w:val="00990868"/>
    <w:rsid w:val="00993654"/>
    <w:rsid w:val="00993855"/>
    <w:rsid w:val="00995053"/>
    <w:rsid w:val="009A01ED"/>
    <w:rsid w:val="009A7537"/>
    <w:rsid w:val="009C000F"/>
    <w:rsid w:val="009C2D61"/>
    <w:rsid w:val="009C3004"/>
    <w:rsid w:val="009D00A4"/>
    <w:rsid w:val="009D0932"/>
    <w:rsid w:val="009D21D2"/>
    <w:rsid w:val="009D4D0D"/>
    <w:rsid w:val="009D4F7A"/>
    <w:rsid w:val="009E00F5"/>
    <w:rsid w:val="009E2AF6"/>
    <w:rsid w:val="009E3670"/>
    <w:rsid w:val="009E52B3"/>
    <w:rsid w:val="009E56A1"/>
    <w:rsid w:val="009F0CAF"/>
    <w:rsid w:val="009F0FBC"/>
    <w:rsid w:val="009F47B2"/>
    <w:rsid w:val="009F4FC1"/>
    <w:rsid w:val="00A01BF8"/>
    <w:rsid w:val="00A02403"/>
    <w:rsid w:val="00A0537C"/>
    <w:rsid w:val="00A06624"/>
    <w:rsid w:val="00A07690"/>
    <w:rsid w:val="00A10658"/>
    <w:rsid w:val="00A14F4E"/>
    <w:rsid w:val="00A1646C"/>
    <w:rsid w:val="00A164E4"/>
    <w:rsid w:val="00A208C9"/>
    <w:rsid w:val="00A20F3E"/>
    <w:rsid w:val="00A24BAB"/>
    <w:rsid w:val="00A27A55"/>
    <w:rsid w:val="00A33D3B"/>
    <w:rsid w:val="00A35E29"/>
    <w:rsid w:val="00A3630A"/>
    <w:rsid w:val="00A3748A"/>
    <w:rsid w:val="00A4005A"/>
    <w:rsid w:val="00A413AF"/>
    <w:rsid w:val="00A41765"/>
    <w:rsid w:val="00A43F5E"/>
    <w:rsid w:val="00A44074"/>
    <w:rsid w:val="00A477D1"/>
    <w:rsid w:val="00A47CD8"/>
    <w:rsid w:val="00A5051C"/>
    <w:rsid w:val="00A6089D"/>
    <w:rsid w:val="00A62D86"/>
    <w:rsid w:val="00A67173"/>
    <w:rsid w:val="00A67B3D"/>
    <w:rsid w:val="00A67CED"/>
    <w:rsid w:val="00A71F9B"/>
    <w:rsid w:val="00A72D36"/>
    <w:rsid w:val="00A72DB1"/>
    <w:rsid w:val="00A75407"/>
    <w:rsid w:val="00A758CE"/>
    <w:rsid w:val="00A779E6"/>
    <w:rsid w:val="00A8527B"/>
    <w:rsid w:val="00A86172"/>
    <w:rsid w:val="00A87628"/>
    <w:rsid w:val="00A87767"/>
    <w:rsid w:val="00A92405"/>
    <w:rsid w:val="00A92CD2"/>
    <w:rsid w:val="00A92F1A"/>
    <w:rsid w:val="00A93DE9"/>
    <w:rsid w:val="00AA13A7"/>
    <w:rsid w:val="00AA19AF"/>
    <w:rsid w:val="00AA3E75"/>
    <w:rsid w:val="00AA4902"/>
    <w:rsid w:val="00AA50AB"/>
    <w:rsid w:val="00AA6743"/>
    <w:rsid w:val="00AB0D9F"/>
    <w:rsid w:val="00AB2C47"/>
    <w:rsid w:val="00AB50BA"/>
    <w:rsid w:val="00AB5525"/>
    <w:rsid w:val="00AB709C"/>
    <w:rsid w:val="00AC0249"/>
    <w:rsid w:val="00AC045F"/>
    <w:rsid w:val="00AC51C0"/>
    <w:rsid w:val="00AC577E"/>
    <w:rsid w:val="00AC5AD6"/>
    <w:rsid w:val="00AD3876"/>
    <w:rsid w:val="00AD5E59"/>
    <w:rsid w:val="00AD604D"/>
    <w:rsid w:val="00AD73BE"/>
    <w:rsid w:val="00AE0CEC"/>
    <w:rsid w:val="00AE1AF4"/>
    <w:rsid w:val="00AE2E69"/>
    <w:rsid w:val="00AE6BF7"/>
    <w:rsid w:val="00AE7FB5"/>
    <w:rsid w:val="00AF0872"/>
    <w:rsid w:val="00AF0F37"/>
    <w:rsid w:val="00AF0F85"/>
    <w:rsid w:val="00AF16B7"/>
    <w:rsid w:val="00AF1968"/>
    <w:rsid w:val="00AF7482"/>
    <w:rsid w:val="00AF7962"/>
    <w:rsid w:val="00B018E2"/>
    <w:rsid w:val="00B019DE"/>
    <w:rsid w:val="00B041E5"/>
    <w:rsid w:val="00B13523"/>
    <w:rsid w:val="00B14040"/>
    <w:rsid w:val="00B14278"/>
    <w:rsid w:val="00B143DF"/>
    <w:rsid w:val="00B14D67"/>
    <w:rsid w:val="00B14DC0"/>
    <w:rsid w:val="00B151D2"/>
    <w:rsid w:val="00B15EE8"/>
    <w:rsid w:val="00B15F0F"/>
    <w:rsid w:val="00B16498"/>
    <w:rsid w:val="00B1668C"/>
    <w:rsid w:val="00B17B41"/>
    <w:rsid w:val="00B21961"/>
    <w:rsid w:val="00B23B2F"/>
    <w:rsid w:val="00B25A68"/>
    <w:rsid w:val="00B32D7D"/>
    <w:rsid w:val="00B361FE"/>
    <w:rsid w:val="00B4167A"/>
    <w:rsid w:val="00B418FE"/>
    <w:rsid w:val="00B4246D"/>
    <w:rsid w:val="00B42EB9"/>
    <w:rsid w:val="00B43B4C"/>
    <w:rsid w:val="00B441EF"/>
    <w:rsid w:val="00B46FA2"/>
    <w:rsid w:val="00B50F76"/>
    <w:rsid w:val="00B52639"/>
    <w:rsid w:val="00B5414F"/>
    <w:rsid w:val="00B54F91"/>
    <w:rsid w:val="00B57334"/>
    <w:rsid w:val="00B605EB"/>
    <w:rsid w:val="00B630E3"/>
    <w:rsid w:val="00B63B24"/>
    <w:rsid w:val="00B64DE3"/>
    <w:rsid w:val="00B7225E"/>
    <w:rsid w:val="00B73E0E"/>
    <w:rsid w:val="00B7469F"/>
    <w:rsid w:val="00B74806"/>
    <w:rsid w:val="00B77470"/>
    <w:rsid w:val="00B80B43"/>
    <w:rsid w:val="00B812EB"/>
    <w:rsid w:val="00B814EF"/>
    <w:rsid w:val="00B8157C"/>
    <w:rsid w:val="00B82273"/>
    <w:rsid w:val="00B84450"/>
    <w:rsid w:val="00B9077B"/>
    <w:rsid w:val="00B93288"/>
    <w:rsid w:val="00B95AFF"/>
    <w:rsid w:val="00BA3950"/>
    <w:rsid w:val="00BA426F"/>
    <w:rsid w:val="00BA5C48"/>
    <w:rsid w:val="00BA68E3"/>
    <w:rsid w:val="00BA7EC0"/>
    <w:rsid w:val="00BB62B8"/>
    <w:rsid w:val="00BB6939"/>
    <w:rsid w:val="00BB6B46"/>
    <w:rsid w:val="00BB6E6C"/>
    <w:rsid w:val="00BC05FA"/>
    <w:rsid w:val="00BC097C"/>
    <w:rsid w:val="00BC49C5"/>
    <w:rsid w:val="00BC55F9"/>
    <w:rsid w:val="00BC5769"/>
    <w:rsid w:val="00BD0A8C"/>
    <w:rsid w:val="00BD2CB3"/>
    <w:rsid w:val="00BD32E6"/>
    <w:rsid w:val="00BD3350"/>
    <w:rsid w:val="00BD4DC3"/>
    <w:rsid w:val="00BD62CA"/>
    <w:rsid w:val="00BE0681"/>
    <w:rsid w:val="00BE1B09"/>
    <w:rsid w:val="00BE2E31"/>
    <w:rsid w:val="00BE3CA6"/>
    <w:rsid w:val="00BE74CA"/>
    <w:rsid w:val="00BF01FE"/>
    <w:rsid w:val="00BF46B0"/>
    <w:rsid w:val="00BF4CE6"/>
    <w:rsid w:val="00BF7E66"/>
    <w:rsid w:val="00C010C0"/>
    <w:rsid w:val="00C02C11"/>
    <w:rsid w:val="00C040C1"/>
    <w:rsid w:val="00C04BDF"/>
    <w:rsid w:val="00C0704C"/>
    <w:rsid w:val="00C12523"/>
    <w:rsid w:val="00C130B7"/>
    <w:rsid w:val="00C15CCF"/>
    <w:rsid w:val="00C16B5C"/>
    <w:rsid w:val="00C2095A"/>
    <w:rsid w:val="00C20BF7"/>
    <w:rsid w:val="00C211C7"/>
    <w:rsid w:val="00C2123D"/>
    <w:rsid w:val="00C214E9"/>
    <w:rsid w:val="00C24FCA"/>
    <w:rsid w:val="00C27617"/>
    <w:rsid w:val="00C31816"/>
    <w:rsid w:val="00C33304"/>
    <w:rsid w:val="00C34172"/>
    <w:rsid w:val="00C343E7"/>
    <w:rsid w:val="00C3577A"/>
    <w:rsid w:val="00C3665E"/>
    <w:rsid w:val="00C3733F"/>
    <w:rsid w:val="00C40793"/>
    <w:rsid w:val="00C42275"/>
    <w:rsid w:val="00C46225"/>
    <w:rsid w:val="00C53922"/>
    <w:rsid w:val="00C60397"/>
    <w:rsid w:val="00C60593"/>
    <w:rsid w:val="00C61243"/>
    <w:rsid w:val="00C61E47"/>
    <w:rsid w:val="00C621FE"/>
    <w:rsid w:val="00C63D40"/>
    <w:rsid w:val="00C75948"/>
    <w:rsid w:val="00C82827"/>
    <w:rsid w:val="00C82AD4"/>
    <w:rsid w:val="00C8478B"/>
    <w:rsid w:val="00C85C75"/>
    <w:rsid w:val="00C903EC"/>
    <w:rsid w:val="00C95071"/>
    <w:rsid w:val="00C95F95"/>
    <w:rsid w:val="00CA1B8E"/>
    <w:rsid w:val="00CA1BCC"/>
    <w:rsid w:val="00CA4B19"/>
    <w:rsid w:val="00CA4CDB"/>
    <w:rsid w:val="00CA6833"/>
    <w:rsid w:val="00CA788B"/>
    <w:rsid w:val="00CB0349"/>
    <w:rsid w:val="00CB1982"/>
    <w:rsid w:val="00CB24D8"/>
    <w:rsid w:val="00CB2850"/>
    <w:rsid w:val="00CB582B"/>
    <w:rsid w:val="00CB5CAA"/>
    <w:rsid w:val="00CB68E9"/>
    <w:rsid w:val="00CB6FAF"/>
    <w:rsid w:val="00CB7992"/>
    <w:rsid w:val="00CC3D5E"/>
    <w:rsid w:val="00CC44BF"/>
    <w:rsid w:val="00CC51D9"/>
    <w:rsid w:val="00CC5208"/>
    <w:rsid w:val="00CD1620"/>
    <w:rsid w:val="00CD3E97"/>
    <w:rsid w:val="00CE18D0"/>
    <w:rsid w:val="00CE31FA"/>
    <w:rsid w:val="00CE3255"/>
    <w:rsid w:val="00CE39C1"/>
    <w:rsid w:val="00CE535B"/>
    <w:rsid w:val="00CE7081"/>
    <w:rsid w:val="00D0041C"/>
    <w:rsid w:val="00D02246"/>
    <w:rsid w:val="00D03331"/>
    <w:rsid w:val="00D0449C"/>
    <w:rsid w:val="00D06D13"/>
    <w:rsid w:val="00D07543"/>
    <w:rsid w:val="00D10B55"/>
    <w:rsid w:val="00D13A3D"/>
    <w:rsid w:val="00D16EE6"/>
    <w:rsid w:val="00D176F1"/>
    <w:rsid w:val="00D20846"/>
    <w:rsid w:val="00D26179"/>
    <w:rsid w:val="00D2695F"/>
    <w:rsid w:val="00D302D6"/>
    <w:rsid w:val="00D316C5"/>
    <w:rsid w:val="00D3368B"/>
    <w:rsid w:val="00D345C3"/>
    <w:rsid w:val="00D3610C"/>
    <w:rsid w:val="00D414DD"/>
    <w:rsid w:val="00D424BB"/>
    <w:rsid w:val="00D43817"/>
    <w:rsid w:val="00D43CE1"/>
    <w:rsid w:val="00D51F4D"/>
    <w:rsid w:val="00D52124"/>
    <w:rsid w:val="00D53237"/>
    <w:rsid w:val="00D55667"/>
    <w:rsid w:val="00D572DF"/>
    <w:rsid w:val="00D57A5C"/>
    <w:rsid w:val="00D600C9"/>
    <w:rsid w:val="00D61047"/>
    <w:rsid w:val="00D64651"/>
    <w:rsid w:val="00D679A8"/>
    <w:rsid w:val="00D67A5A"/>
    <w:rsid w:val="00D70C30"/>
    <w:rsid w:val="00D72776"/>
    <w:rsid w:val="00D72B7C"/>
    <w:rsid w:val="00D77069"/>
    <w:rsid w:val="00D77FB8"/>
    <w:rsid w:val="00D83014"/>
    <w:rsid w:val="00D84548"/>
    <w:rsid w:val="00D84969"/>
    <w:rsid w:val="00D858B3"/>
    <w:rsid w:val="00D92975"/>
    <w:rsid w:val="00D93BF7"/>
    <w:rsid w:val="00D9505A"/>
    <w:rsid w:val="00D959D1"/>
    <w:rsid w:val="00D96CCE"/>
    <w:rsid w:val="00DA09F5"/>
    <w:rsid w:val="00DA3F47"/>
    <w:rsid w:val="00DA4D3B"/>
    <w:rsid w:val="00DA5511"/>
    <w:rsid w:val="00DA78A9"/>
    <w:rsid w:val="00DA7B91"/>
    <w:rsid w:val="00DB30B9"/>
    <w:rsid w:val="00DB5C1C"/>
    <w:rsid w:val="00DB6C81"/>
    <w:rsid w:val="00DC0171"/>
    <w:rsid w:val="00DC0EB3"/>
    <w:rsid w:val="00DC1CBF"/>
    <w:rsid w:val="00DC33EE"/>
    <w:rsid w:val="00DC445E"/>
    <w:rsid w:val="00DC75CD"/>
    <w:rsid w:val="00DD22A2"/>
    <w:rsid w:val="00DD4578"/>
    <w:rsid w:val="00DD48DA"/>
    <w:rsid w:val="00DD7AB7"/>
    <w:rsid w:val="00DE0213"/>
    <w:rsid w:val="00DE18F6"/>
    <w:rsid w:val="00DE339D"/>
    <w:rsid w:val="00DE3C9C"/>
    <w:rsid w:val="00DF08CC"/>
    <w:rsid w:val="00DF173B"/>
    <w:rsid w:val="00DF3849"/>
    <w:rsid w:val="00DF58EA"/>
    <w:rsid w:val="00DF6445"/>
    <w:rsid w:val="00E005EF"/>
    <w:rsid w:val="00E00760"/>
    <w:rsid w:val="00E0091B"/>
    <w:rsid w:val="00E02599"/>
    <w:rsid w:val="00E03317"/>
    <w:rsid w:val="00E05B4C"/>
    <w:rsid w:val="00E07951"/>
    <w:rsid w:val="00E10E9B"/>
    <w:rsid w:val="00E1398C"/>
    <w:rsid w:val="00E14A24"/>
    <w:rsid w:val="00E16EE9"/>
    <w:rsid w:val="00E2259B"/>
    <w:rsid w:val="00E22615"/>
    <w:rsid w:val="00E22870"/>
    <w:rsid w:val="00E234FC"/>
    <w:rsid w:val="00E23FE9"/>
    <w:rsid w:val="00E270AE"/>
    <w:rsid w:val="00E3203E"/>
    <w:rsid w:val="00E325B7"/>
    <w:rsid w:val="00E36325"/>
    <w:rsid w:val="00E411D2"/>
    <w:rsid w:val="00E41489"/>
    <w:rsid w:val="00E42AB9"/>
    <w:rsid w:val="00E43C27"/>
    <w:rsid w:val="00E46D88"/>
    <w:rsid w:val="00E47706"/>
    <w:rsid w:val="00E47C19"/>
    <w:rsid w:val="00E52857"/>
    <w:rsid w:val="00E52D4B"/>
    <w:rsid w:val="00E542A8"/>
    <w:rsid w:val="00E648E5"/>
    <w:rsid w:val="00E6646C"/>
    <w:rsid w:val="00E71F4D"/>
    <w:rsid w:val="00E73406"/>
    <w:rsid w:val="00E757D3"/>
    <w:rsid w:val="00E75B0A"/>
    <w:rsid w:val="00E77A72"/>
    <w:rsid w:val="00E77C37"/>
    <w:rsid w:val="00E8139D"/>
    <w:rsid w:val="00E86745"/>
    <w:rsid w:val="00E90FEF"/>
    <w:rsid w:val="00E91ADF"/>
    <w:rsid w:val="00E938CC"/>
    <w:rsid w:val="00E95FC1"/>
    <w:rsid w:val="00EA00CC"/>
    <w:rsid w:val="00EA3D79"/>
    <w:rsid w:val="00EA718A"/>
    <w:rsid w:val="00EB195E"/>
    <w:rsid w:val="00EB25DD"/>
    <w:rsid w:val="00EB2D91"/>
    <w:rsid w:val="00EB7987"/>
    <w:rsid w:val="00EC19FB"/>
    <w:rsid w:val="00EC25FA"/>
    <w:rsid w:val="00EC4D6E"/>
    <w:rsid w:val="00EC5288"/>
    <w:rsid w:val="00EC551E"/>
    <w:rsid w:val="00EC56B1"/>
    <w:rsid w:val="00EC7850"/>
    <w:rsid w:val="00ED2528"/>
    <w:rsid w:val="00ED3DBC"/>
    <w:rsid w:val="00EE0AE1"/>
    <w:rsid w:val="00EE30BA"/>
    <w:rsid w:val="00EE3543"/>
    <w:rsid w:val="00EE4853"/>
    <w:rsid w:val="00EE4CE3"/>
    <w:rsid w:val="00EE623D"/>
    <w:rsid w:val="00EF209F"/>
    <w:rsid w:val="00EF3501"/>
    <w:rsid w:val="00EF4931"/>
    <w:rsid w:val="00EF7D5D"/>
    <w:rsid w:val="00F00520"/>
    <w:rsid w:val="00F00A5C"/>
    <w:rsid w:val="00F02A22"/>
    <w:rsid w:val="00F03ABE"/>
    <w:rsid w:val="00F061A0"/>
    <w:rsid w:val="00F068F7"/>
    <w:rsid w:val="00F143EB"/>
    <w:rsid w:val="00F17216"/>
    <w:rsid w:val="00F17535"/>
    <w:rsid w:val="00F206CE"/>
    <w:rsid w:val="00F21611"/>
    <w:rsid w:val="00F21E88"/>
    <w:rsid w:val="00F220E1"/>
    <w:rsid w:val="00F251F1"/>
    <w:rsid w:val="00F27641"/>
    <w:rsid w:val="00F30CCA"/>
    <w:rsid w:val="00F3274E"/>
    <w:rsid w:val="00F36A18"/>
    <w:rsid w:val="00F40342"/>
    <w:rsid w:val="00F4295E"/>
    <w:rsid w:val="00F43619"/>
    <w:rsid w:val="00F43A56"/>
    <w:rsid w:val="00F44E6A"/>
    <w:rsid w:val="00F4729E"/>
    <w:rsid w:val="00F47395"/>
    <w:rsid w:val="00F53163"/>
    <w:rsid w:val="00F54B94"/>
    <w:rsid w:val="00F54FC3"/>
    <w:rsid w:val="00F56105"/>
    <w:rsid w:val="00F56E50"/>
    <w:rsid w:val="00F6088C"/>
    <w:rsid w:val="00F6114C"/>
    <w:rsid w:val="00F635E2"/>
    <w:rsid w:val="00F63892"/>
    <w:rsid w:val="00F64B4E"/>
    <w:rsid w:val="00F64B83"/>
    <w:rsid w:val="00F70525"/>
    <w:rsid w:val="00F71FDD"/>
    <w:rsid w:val="00F727F5"/>
    <w:rsid w:val="00F76129"/>
    <w:rsid w:val="00F77823"/>
    <w:rsid w:val="00F81385"/>
    <w:rsid w:val="00F81CA3"/>
    <w:rsid w:val="00F82A19"/>
    <w:rsid w:val="00F83833"/>
    <w:rsid w:val="00F905F4"/>
    <w:rsid w:val="00F93256"/>
    <w:rsid w:val="00F93610"/>
    <w:rsid w:val="00FA0C21"/>
    <w:rsid w:val="00FA2364"/>
    <w:rsid w:val="00FA3469"/>
    <w:rsid w:val="00FA4A30"/>
    <w:rsid w:val="00FA4F98"/>
    <w:rsid w:val="00FA51FA"/>
    <w:rsid w:val="00FA5D71"/>
    <w:rsid w:val="00FA79BF"/>
    <w:rsid w:val="00FB746B"/>
    <w:rsid w:val="00FC1B2F"/>
    <w:rsid w:val="00FC264B"/>
    <w:rsid w:val="00FC465D"/>
    <w:rsid w:val="00FC49A9"/>
    <w:rsid w:val="00FC6D3D"/>
    <w:rsid w:val="00FC73D8"/>
    <w:rsid w:val="00FD36E8"/>
    <w:rsid w:val="00FD685C"/>
    <w:rsid w:val="00FE0752"/>
    <w:rsid w:val="00FE1925"/>
    <w:rsid w:val="00FE332A"/>
    <w:rsid w:val="00FE45A3"/>
    <w:rsid w:val="00FF15EC"/>
    <w:rsid w:val="00FF1FF2"/>
    <w:rsid w:val="00FF44B3"/>
    <w:rsid w:val="00FF4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03A62D-C967-4018-8877-B0B1F59F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59"/>
    <w:rsid w:val="00177D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rsid w:val="00667644"/>
    <w:rPr>
      <w:sz w:val="20"/>
      <w:szCs w:val="20"/>
    </w:rPr>
  </w:style>
  <w:style w:type="character" w:customStyle="1" w:styleId="FootnoteTextChar">
    <w:name w:val="Footnote Text Char"/>
    <w:basedOn w:val="DefaultParagraphFont"/>
    <w:link w:val="FootnoteText"/>
    <w:locked/>
    <w:rsid w:val="0041769F"/>
    <w:rPr>
      <w:rFonts w:cs="Times New Roman"/>
      <w:sz w:val="20"/>
      <w:szCs w:val="20"/>
    </w:rPr>
  </w:style>
  <w:style w:type="character" w:styleId="FootnoteReference">
    <w:name w:val="footnote reference"/>
    <w:basedOn w:val="DefaultParagraphFont"/>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unhideWhenUsed/>
    <w:rsid w:val="00E757D3"/>
    <w:rPr>
      <w:color w:val="0000FF" w:themeColor="hyperlink"/>
      <w:u w:val="single"/>
    </w:rPr>
  </w:style>
  <w:style w:type="paragraph" w:styleId="ListParagraph">
    <w:name w:val="List Paragraph"/>
    <w:basedOn w:val="Normal"/>
    <w:uiPriority w:val="34"/>
    <w:qFormat/>
    <w:rsid w:val="00003F4F"/>
    <w:pPr>
      <w:ind w:left="720"/>
      <w:contextualSpacing/>
    </w:pPr>
  </w:style>
  <w:style w:type="paragraph" w:styleId="NormalWeb">
    <w:name w:val="Normal (Web)"/>
    <w:basedOn w:val="Normal"/>
    <w:uiPriority w:val="99"/>
    <w:semiHidden/>
    <w:unhideWhenUsed/>
    <w:rsid w:val="00B15F0F"/>
    <w:pPr>
      <w:spacing w:before="100" w:beforeAutospacing="1" w:after="100" w:afterAutospacing="1"/>
    </w:pPr>
  </w:style>
  <w:style w:type="paragraph" w:customStyle="1" w:styleId="Default">
    <w:name w:val="Default"/>
    <w:rsid w:val="006D11F5"/>
    <w:pPr>
      <w:autoSpaceDE w:val="0"/>
      <w:autoSpaceDN w:val="0"/>
      <w:adjustRightInd w:val="0"/>
    </w:pPr>
    <w:rPr>
      <w:rFonts w:ascii="Cambria" w:hAnsi="Cambria" w:cs="Cambria"/>
      <w:color w:val="000000"/>
      <w:sz w:val="24"/>
      <w:szCs w:val="24"/>
    </w:rPr>
  </w:style>
  <w:style w:type="character" w:customStyle="1" w:styleId="apple-converted-space">
    <w:name w:val="apple-converted-space"/>
    <w:basedOn w:val="DefaultParagraphFont"/>
    <w:rsid w:val="00AD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2211">
      <w:bodyDiv w:val="1"/>
      <w:marLeft w:val="0"/>
      <w:marRight w:val="0"/>
      <w:marTop w:val="0"/>
      <w:marBottom w:val="0"/>
      <w:divBdr>
        <w:top w:val="none" w:sz="0" w:space="0" w:color="auto"/>
        <w:left w:val="none" w:sz="0" w:space="0" w:color="auto"/>
        <w:bottom w:val="none" w:sz="0" w:space="0" w:color="auto"/>
        <w:right w:val="none" w:sz="0" w:space="0" w:color="auto"/>
      </w:divBdr>
    </w:div>
    <w:div w:id="1087068878">
      <w:bodyDiv w:val="1"/>
      <w:marLeft w:val="0"/>
      <w:marRight w:val="0"/>
      <w:marTop w:val="0"/>
      <w:marBottom w:val="0"/>
      <w:divBdr>
        <w:top w:val="none" w:sz="0" w:space="0" w:color="auto"/>
        <w:left w:val="none" w:sz="0" w:space="0" w:color="auto"/>
        <w:bottom w:val="none" w:sz="0" w:space="0" w:color="auto"/>
        <w:right w:val="none" w:sz="0" w:space="0" w:color="auto"/>
      </w:divBdr>
      <w:divsChild>
        <w:div w:id="1048187355">
          <w:marLeft w:val="0"/>
          <w:marRight w:val="0"/>
          <w:marTop w:val="0"/>
          <w:marBottom w:val="0"/>
          <w:divBdr>
            <w:top w:val="none" w:sz="0" w:space="0" w:color="auto"/>
            <w:left w:val="none" w:sz="0" w:space="0" w:color="auto"/>
            <w:bottom w:val="none" w:sz="0" w:space="0" w:color="auto"/>
            <w:right w:val="none" w:sz="0" w:space="0" w:color="auto"/>
          </w:divBdr>
        </w:div>
        <w:div w:id="2096434065">
          <w:marLeft w:val="0"/>
          <w:marRight w:val="0"/>
          <w:marTop w:val="0"/>
          <w:marBottom w:val="0"/>
          <w:divBdr>
            <w:top w:val="none" w:sz="0" w:space="0" w:color="auto"/>
            <w:left w:val="none" w:sz="0" w:space="0" w:color="auto"/>
            <w:bottom w:val="none" w:sz="0" w:space="0" w:color="auto"/>
            <w:right w:val="none" w:sz="0" w:space="0" w:color="auto"/>
          </w:divBdr>
        </w:div>
        <w:div w:id="1335113280">
          <w:marLeft w:val="0"/>
          <w:marRight w:val="0"/>
          <w:marTop w:val="0"/>
          <w:marBottom w:val="0"/>
          <w:divBdr>
            <w:top w:val="none" w:sz="0" w:space="0" w:color="auto"/>
            <w:left w:val="none" w:sz="0" w:space="0" w:color="auto"/>
            <w:bottom w:val="none" w:sz="0" w:space="0" w:color="auto"/>
            <w:right w:val="none" w:sz="0" w:space="0" w:color="auto"/>
          </w:divBdr>
        </w:div>
      </w:divsChild>
    </w:div>
    <w:div w:id="1532495753">
      <w:marLeft w:val="0"/>
      <w:marRight w:val="0"/>
      <w:marTop w:val="0"/>
      <w:marBottom w:val="0"/>
      <w:divBdr>
        <w:top w:val="none" w:sz="0" w:space="0" w:color="auto"/>
        <w:left w:val="none" w:sz="0" w:space="0" w:color="auto"/>
        <w:bottom w:val="none" w:sz="0" w:space="0" w:color="auto"/>
        <w:right w:val="none" w:sz="0" w:space="0" w:color="auto"/>
      </w:divBdr>
    </w:div>
    <w:div w:id="1716537621">
      <w:bodyDiv w:val="1"/>
      <w:marLeft w:val="0"/>
      <w:marRight w:val="0"/>
      <w:marTop w:val="0"/>
      <w:marBottom w:val="0"/>
      <w:divBdr>
        <w:top w:val="none" w:sz="0" w:space="0" w:color="auto"/>
        <w:left w:val="none" w:sz="0" w:space="0" w:color="auto"/>
        <w:bottom w:val="none" w:sz="0" w:space="0" w:color="auto"/>
        <w:right w:val="none" w:sz="0" w:space="0" w:color="auto"/>
      </w:divBdr>
    </w:div>
    <w:div w:id="1974217377">
      <w:bodyDiv w:val="1"/>
      <w:marLeft w:val="0"/>
      <w:marRight w:val="0"/>
      <w:marTop w:val="0"/>
      <w:marBottom w:val="0"/>
      <w:divBdr>
        <w:top w:val="none" w:sz="0" w:space="0" w:color="auto"/>
        <w:left w:val="none" w:sz="0" w:space="0" w:color="auto"/>
        <w:bottom w:val="none" w:sz="0" w:space="0" w:color="auto"/>
        <w:right w:val="none" w:sz="0" w:space="0" w:color="auto"/>
      </w:divBdr>
    </w:div>
    <w:div w:id="2113285503">
      <w:bodyDiv w:val="1"/>
      <w:marLeft w:val="0"/>
      <w:marRight w:val="0"/>
      <w:marTop w:val="0"/>
      <w:marBottom w:val="0"/>
      <w:divBdr>
        <w:top w:val="none" w:sz="0" w:space="0" w:color="auto"/>
        <w:left w:val="none" w:sz="0" w:space="0" w:color="auto"/>
        <w:bottom w:val="none" w:sz="0" w:space="0" w:color="auto"/>
        <w:right w:val="none" w:sz="0" w:space="0" w:color="auto"/>
      </w:divBdr>
      <w:divsChild>
        <w:div w:id="716928101">
          <w:marLeft w:val="0"/>
          <w:marRight w:val="0"/>
          <w:marTop w:val="0"/>
          <w:marBottom w:val="0"/>
          <w:divBdr>
            <w:top w:val="none" w:sz="0" w:space="0" w:color="auto"/>
            <w:left w:val="none" w:sz="0" w:space="0" w:color="auto"/>
            <w:bottom w:val="none" w:sz="0" w:space="0" w:color="auto"/>
            <w:right w:val="none" w:sz="0" w:space="0" w:color="auto"/>
          </w:divBdr>
        </w:div>
        <w:div w:id="202231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1054;&#1058;&#1063;&#1045;&#1058;_&#1055;&#1054;&#1051;&#1059;&#1043;&#1054;&#1044;&#1048;&#1045;%202017\&#1088;&#1077;&#1096;&#1077;&#1085;&#1080;%20&#1087;&#1086;%20&#1074;&#1098;&#1079;&#1088;&#1072;&#1089;&#109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Pushkarova\AppData\Local\Microsoft\Windows\INetCache\IE\37KI3ZWF\&#1056;&#8216;&#1057;&#1026;&#1056;&#1109;&#1056;&#8470;%20&#1056;&#1111;&#1057;&#1026;&#1056;&#181;&#1056;&#1169;&#1056;&#187;&#1056;&#1109;&#1056;&#182;&#1056;&#181;&#1056;&#1029;&#1056;&#1105;&#1057;&#1039;%20&#1056;&#183;&#1056;&#176;%20&#1056;&#1109;&#1057;&#8218;&#1056;&#1108;&#1056;&#176;&#1056;&#183;%20&#1056;&#1111;&#1056;&#1109;%20&#1056;&#1112;&#1056;&#1109;&#1057;&#8218;&#1056;&#1105;&#1056;&#1030;&#1056;&#1105;%20&#1056;&#1029;&#1056;&#176;%20&#1056;&#1113;&#1056;&#1109;&#1056;&#1112;&#1056;&#1105;&#1057;&#1027;&#1056;&#1105;&#1057;&#1039;&#1057;&#8218;&#1056;&#176;.xlsx"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Pushkarova\AppData\Local\Microsoft\Windows\INetCache\IE\37KI3ZWF\&#1056;&#8216;&#1057;&#1026;&#1056;&#1109;&#1056;&#8470;%20&#1056;&#1112;&#1056;&#1109;&#1056;&#187;&#1056;&#1105;&#1057;&#8218;&#1056;&#181;&#1056;&#187;&#1056;&#1105;%20&#1057;&#1027;%20&#1057;&#1026;&#1056;&#181;&#1057;&#8364;&#1056;&#181;&#1056;&#1029;&#1056;&#1105;%20&#1056;&#1112;&#1056;&#1109;&#1056;&#187;&#1056;&#177;&#1056;&#1105;,%20&#1056;&#1111;&#1056;&#1109;%20&#1056;&#1109;&#1056;&#177;&#1057;&#1026;&#1056;&#176;&#1056;&#183;&#1056;&#1109;&#1056;&#1030;&#1056;&#176;&#1056;&#1029;&#1056;&#1105;&#1056;&#18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1054;&#1058;&#1063;&#1045;&#1058;_&#1055;&#1054;&#1051;&#1059;&#1043;&#1054;&#1044;&#1048;&#1045;%202017\&#1089;&#1077;&#1084;&#1077;&#1081;&#1085;&#1086;%20&#1087;&#1086;&#1083;&#1086;&#1078;&#1077;&#1085;&#1080;&#107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1054;&#1058;&#1063;&#1045;&#1058;_&#1055;&#1054;&#1051;&#1059;&#1043;&#1054;&#1044;&#1048;&#1045;%202017\&#1088;&#1086;&#1076;&#1080;&#1090;&#1077;&#108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Iva%20Pushkarova\Desktop\&#1086;&#1090;&#1095;&#1077;&#1090;_&#1050;&#1055;_&#1072;&#1087;&#1088;&#1080;&#1083;%202017\&#1085;&#1080;&#1074;&#1072;%20&#1085;&#1072;%20&#1088;&#1077;&#1094;&#1080;&#1076;&#1080;&#1074;&#1085;&#1080;&#1103;%20&#1088;&#1080;&#1089;&#108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4;&#1058;&#1063;&#1045;&#1058;_&#1058;&#1056;&#1045;&#1058;&#1054;%20&#1058;&#1056;&#1048;&#1052;&#1045;&#1057;&#1045;&#1063;&#1048;&#1045;%202016\statistika_otchet\&#1079;&#1086;&#1085;&#1080;%20&#1085;&#1072;%20&#1088;&#1080;&#1089;&#1082;&#107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E:\&#1086;&#1090;&#1095;&#1077;&#1090;_&#1050;&#1055;_&#1072;&#1087;&#1088;&#1080;&#1083;%202017\&#1087;&#1086;%20&#1079;&#1072;&#1090;&#1074;&#1086;&#1088;.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Pushkarova\AppData\Local\Microsoft\Windows\INetCache\IE\V5HJWZ09\&#1056;&#8216;&#1057;&#1026;&#1056;&#1109;&#1056;&#8470;%20&#1056;&#1112;&#1056;&#1109;&#1056;&#187;&#1056;&#1105;&#1057;&#8218;&#1056;&#181;&#1056;&#187;&#1056;&#1105;%20&#1057;&#1027;%20&#1057;&#1026;&#1056;&#181;&#1057;&#8364;&#1056;&#181;&#1056;&#1029;&#1056;&#1105;%20&#1056;&#1112;&#1056;&#1109;&#1056;&#187;&#1056;&#177;&#1056;&#1105;,%20&#1056;&#1111;&#1056;&#1109;%20&#1056;&#1030;&#1056;&#1105;&#1056;&#1169;%20&#1056;&#1029;&#1056;&#176;&#1056;&#1108;&#1056;&#176;&#1056;&#183;&#1056;&#176;&#1056;&#1029;&#1056;&#1105;&#1056;&#181;.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Pushkarova\AppData\Local\Microsoft\Windows\INetCache\IE\YU135A6G\&#1056;&#8216;&#1057;&#1026;&#1056;&#1109;&#1056;&#8470;%20&#1056;&#1112;&#1056;&#1109;&#1056;&#187;&#1056;&#1105;&#1057;&#8218;&#1056;&#181;&#1056;&#187;&#1056;&#1105;%20&#1057;&#1027;%20&#1057;&#1026;&#1056;&#181;&#1057;&#8364;&#1056;&#181;&#1056;&#1029;&#1056;&#1105;%20&#1056;&#1112;&#1056;&#1109;&#1056;&#187;&#1056;&#177;&#1056;&#1105;,%20&#1056;&#1111;&#1056;&#1109;%20&#1056;&#1112;&#1056;&#1109;&#1057;&#8218;&#1056;&#1105;&#1056;&#1030;&#1056;&#1105;%20&#1056;&#1029;&#1056;&#176;%20&#1056;&#1112;&#1056;&#1109;&#1056;&#187;&#1056;&#1105;&#1057;&#8218;&#1056;&#181;&#1056;&#187;&#1057;&#103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bg-BG" sz="1100" b="1">
                <a:latin typeface="+mj-lt"/>
              </a:rPr>
              <a:t>1.БРОЙ МОЛИТЕЛИ ПО ВЪЗРАСТ</a:t>
            </a:r>
            <a:endParaRPr lang="en-US" sz="1100" b="1">
              <a:latin typeface="+mj-lt"/>
            </a:endParaRP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bg-BG"/>
        </a:p>
      </c:txPr>
    </c:title>
    <c:autoTitleDeleted val="0"/>
    <c:plotArea>
      <c:layout>
        <c:manualLayout>
          <c:layoutTarget val="inner"/>
          <c:xMode val="edge"/>
          <c:yMode val="edge"/>
          <c:x val="4.4989775051124746E-2"/>
          <c:y val="8.4951574035701694E-2"/>
          <c:w val="0.93777788512632243"/>
          <c:h val="0.73416524688799867"/>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4"/>
              <c:tx>
                <c:rich>
                  <a:bodyPr/>
                  <a:lstStyle/>
                  <a:p>
                    <a:fld id="{BB6E3727-FCD5-4012-95CA-27C52C1BC2E4}" type="VALUE">
                      <a:rPr lang="en-US">
                        <a:solidFill>
                          <a:schemeClr val="bg1"/>
                        </a:solidFill>
                      </a:rPr>
                      <a:pPr/>
                      <a:t>[VALUE]</a:t>
                    </a:fld>
                    <a:endParaRPr lang="bg-BG"/>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'2012-02-12 - 2017-05-01'!$F$1:$K$1</c:f>
              <c:strCache>
                <c:ptCount val="6"/>
                <c:pt idx="0">
                  <c:v>21 - 30 г.</c:v>
                </c:pt>
                <c:pt idx="1">
                  <c:v>31 - 40 г.</c:v>
                </c:pt>
                <c:pt idx="2">
                  <c:v>41 - 50 г.</c:v>
                </c:pt>
                <c:pt idx="3">
                  <c:v>51 - 60 г.</c:v>
                </c:pt>
                <c:pt idx="4">
                  <c:v>61 - 70 г.</c:v>
                </c:pt>
                <c:pt idx="5">
                  <c:v>Над 70 г.</c:v>
                </c:pt>
              </c:strCache>
            </c:strRef>
          </c:cat>
          <c:val>
            <c:numRef>
              <c:f>'2012-02-12 - 2017-05-01'!$F$2:$K$2</c:f>
              <c:numCache>
                <c:formatCode>0%</c:formatCode>
                <c:ptCount val="6"/>
                <c:pt idx="0">
                  <c:v>0.21</c:v>
                </c:pt>
                <c:pt idx="1">
                  <c:v>0.34</c:v>
                </c:pt>
                <c:pt idx="2">
                  <c:v>0.24</c:v>
                </c:pt>
                <c:pt idx="3">
                  <c:v>0.13</c:v>
                </c:pt>
                <c:pt idx="4">
                  <c:v>0.06</c:v>
                </c:pt>
                <c:pt idx="5">
                  <c:v>0.02</c:v>
                </c:pt>
              </c:numCache>
            </c:numRef>
          </c:val>
        </c:ser>
        <c:dLbls>
          <c:dLblPos val="inEnd"/>
          <c:showLegendKey val="0"/>
          <c:showVal val="1"/>
          <c:showCatName val="0"/>
          <c:showSerName val="0"/>
          <c:showPercent val="0"/>
          <c:showBubbleSize val="0"/>
        </c:dLbls>
        <c:gapWidth val="41"/>
        <c:axId val="1670545024"/>
        <c:axId val="1670572224"/>
      </c:barChart>
      <c:catAx>
        <c:axId val="16705450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bg-BG"/>
          </a:p>
        </c:txPr>
        <c:crossAx val="1670572224"/>
        <c:crosses val="autoZero"/>
        <c:auto val="1"/>
        <c:lblAlgn val="ctr"/>
        <c:lblOffset val="100"/>
        <c:noMultiLvlLbl val="0"/>
      </c:catAx>
      <c:valAx>
        <c:axId val="1670572224"/>
        <c:scaling>
          <c:orientation val="minMax"/>
        </c:scaling>
        <c:delete val="1"/>
        <c:axPos val="l"/>
        <c:numFmt formatCode="0%" sourceLinked="1"/>
        <c:majorTickMark val="none"/>
        <c:minorTickMark val="none"/>
        <c:tickLblPos val="nextTo"/>
        <c:crossAx val="167054502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bg-B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chemeClr val="tx1">
                    <a:lumMod val="65000"/>
                    <a:lumOff val="35000"/>
                  </a:schemeClr>
                </a:solidFill>
                <a:latin typeface="+mj-lt"/>
                <a:ea typeface="+mn-ea"/>
                <a:cs typeface="+mn-cs"/>
              </a:defRPr>
            </a:pPr>
            <a:r>
              <a:rPr lang="bg-BG" b="1"/>
              <a:t>10.ПРЕДЛОЖЕНИЯ ЗА ОТКАЗ ПО МОТИВИ НА КП</a:t>
            </a:r>
            <a:endParaRPr lang="en-US" b="1"/>
          </a:p>
        </c:rich>
      </c:tx>
      <c:overlay val="0"/>
      <c:spPr>
        <a:noFill/>
        <a:ln>
          <a:noFill/>
        </a:ln>
        <a:effectLst/>
      </c:spPr>
      <c:txPr>
        <a:bodyPr rot="0" spcFirstLastPara="1" vertOverflow="ellipsis" vert="horz" wrap="square" anchor="ctr" anchorCtr="1"/>
        <a:lstStyle/>
        <a:p>
          <a:pPr>
            <a:defRPr sz="1080" b="1" i="0" u="none" strike="noStrike" kern="1200" spc="0" baseline="0">
              <a:solidFill>
                <a:schemeClr val="tx1">
                  <a:lumMod val="65000"/>
                  <a:lumOff val="35000"/>
                </a:schemeClr>
              </a:solidFill>
              <a:latin typeface="+mj-lt"/>
              <a:ea typeface="+mn-ea"/>
              <a:cs typeface="+mn-cs"/>
            </a:defRPr>
          </a:pPr>
          <a:endParaRPr lang="bg-BG"/>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'[Р‘СЂРѕР№ РїСЂРµРґР»РѕР¶РµРЅРёСЏ Р·Р° РѕС‚РєР°Р· РїРѕ РјРѕС‚РёРІРё РЅР° РљРѕРјРёСЃРёСЏС‚Р°.xlsx]2011-01-12 - 2017-07-28'!$D$1:$J$1</c:f>
              <c:strCache>
                <c:ptCount val="7"/>
                <c:pt idx="0">
                  <c:v>Помилването е ревизия на присъдата</c:v>
                </c:pt>
                <c:pt idx="1">
                  <c:v>Помилването ще насърчи рецидива</c:v>
                </c:pt>
                <c:pt idx="2">
                  <c:v>Помилването ще омаловажи извършеното</c:v>
                </c:pt>
                <c:pt idx="3">
                  <c:v>Приложими други институти</c:v>
                </c:pt>
                <c:pt idx="4">
                  <c:v>Недоказаност на молбата</c:v>
                </c:pt>
                <c:pt idx="5">
                  <c:v>Репресията не е прекомерна/нецелесъобразна</c:v>
                </c:pt>
                <c:pt idx="6">
                  <c:v>Други</c:v>
                </c:pt>
              </c:strCache>
            </c:strRef>
          </c:cat>
          <c:val>
            <c:numRef>
              <c:f>'[Р‘СЂРѕР№ РїСЂРµРґР»РѕР¶РµРЅРёСЏ Р·Р° РѕС‚РєР°Р· РїРѕ РјРѕС‚РёРІРё РЅР° РљРѕРјРёСЃРёСЏС‚Р°.xlsx]2011-01-12 - 2017-07-28'!$D$2:$J$2</c:f>
              <c:numCache>
                <c:formatCode>General</c:formatCode>
                <c:ptCount val="7"/>
                <c:pt idx="0">
                  <c:v>62</c:v>
                </c:pt>
                <c:pt idx="1">
                  <c:v>66</c:v>
                </c:pt>
                <c:pt idx="2">
                  <c:v>154</c:v>
                </c:pt>
                <c:pt idx="3">
                  <c:v>62</c:v>
                </c:pt>
                <c:pt idx="4">
                  <c:v>22</c:v>
                </c:pt>
                <c:pt idx="5">
                  <c:v>213</c:v>
                </c:pt>
                <c:pt idx="6">
                  <c:v>206</c:v>
                </c:pt>
              </c:numCache>
            </c:numRef>
          </c:val>
        </c:ser>
        <c:dLbls>
          <c:showLegendKey val="0"/>
          <c:showVal val="1"/>
          <c:showCatName val="0"/>
          <c:showSerName val="0"/>
          <c:showPercent val="0"/>
          <c:showBubbleSize val="0"/>
        </c:dLbls>
        <c:gapWidth val="150"/>
        <c:overlap val="-25"/>
        <c:axId val="1688369456"/>
        <c:axId val="1688353136"/>
      </c:barChart>
      <c:catAx>
        <c:axId val="1688369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bg-BG"/>
          </a:p>
        </c:txPr>
        <c:crossAx val="1688353136"/>
        <c:crosses val="autoZero"/>
        <c:auto val="1"/>
        <c:lblAlgn val="ctr"/>
        <c:lblOffset val="100"/>
        <c:noMultiLvlLbl val="0"/>
      </c:catAx>
      <c:valAx>
        <c:axId val="1688353136"/>
        <c:scaling>
          <c:orientation val="minMax"/>
        </c:scaling>
        <c:delete val="1"/>
        <c:axPos val="b"/>
        <c:numFmt formatCode="General" sourceLinked="1"/>
        <c:majorTickMark val="none"/>
        <c:minorTickMark val="none"/>
        <c:tickLblPos val="nextTo"/>
        <c:crossAx val="168836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mj-lt"/>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j-lt"/>
                <a:ea typeface="+mn-ea"/>
                <a:cs typeface="+mn-cs"/>
              </a:defRPr>
            </a:pPr>
            <a:r>
              <a:rPr lang="bg-BG" sz="1100" b="1">
                <a:latin typeface="+mj-lt"/>
              </a:rPr>
              <a:t>2.МОЛИТЕЛИТЕ ПО ОБРАЗОВАНИЕ</a:t>
            </a:r>
            <a:endParaRPr lang="en-US" sz="1100" b="1">
              <a:latin typeface="+mj-l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j-lt"/>
              <a:ea typeface="+mn-ea"/>
              <a:cs typeface="+mn-cs"/>
            </a:defRPr>
          </a:pPr>
          <a:endParaRPr lang="bg-BG"/>
        </a:p>
      </c:txPr>
    </c:title>
    <c:autoTitleDeleted val="0"/>
    <c:plotArea>
      <c:layout>
        <c:manualLayout>
          <c:layoutTarget val="inner"/>
          <c:xMode val="edge"/>
          <c:yMode val="edge"/>
          <c:x val="0.37202475858741957"/>
          <c:y val="0.16412214602206984"/>
          <c:w val="0.62797524141258043"/>
          <c:h val="0.8268326136652273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'[Р‘СЂРѕР№ РјРѕР»РёС‚РµР»Рё СЃ СЂРµС€РµРЅРё РјРѕР»Р±Рё, РїРѕ РѕР±СЂР°Р·РѕРІР°РЅРёРµ.xlsx]2012-01-01 - 2017-07-31'!$D$10:$J$10</c:f>
              <c:strCache>
                <c:ptCount val="7"/>
                <c:pt idx="0">
                  <c:v>Без образование</c:v>
                </c:pt>
                <c:pt idx="1">
                  <c:v>Начално</c:v>
                </c:pt>
                <c:pt idx="2">
                  <c:v>Основно</c:v>
                </c:pt>
                <c:pt idx="3">
                  <c:v>Средно</c:v>
                </c:pt>
                <c:pt idx="4">
                  <c:v>Средно специално</c:v>
                </c:pt>
                <c:pt idx="5">
                  <c:v>Полувисше</c:v>
                </c:pt>
                <c:pt idx="6">
                  <c:v>Висше</c:v>
                </c:pt>
              </c:strCache>
            </c:strRef>
          </c:cat>
          <c:val>
            <c:numRef>
              <c:f>'[Р‘СЂРѕР№ РјРѕР»РёС‚РµР»Рё СЃ СЂРµС€РµРЅРё РјРѕР»Р±Рё, РїРѕ РѕР±СЂР°Р·РѕРІР°РЅРёРµ.xlsx]2012-01-01 - 2017-07-31'!$D$11:$J$11</c:f>
              <c:numCache>
                <c:formatCode>0%</c:formatCode>
                <c:ptCount val="7"/>
                <c:pt idx="0">
                  <c:v>7.0000000000000007E-2</c:v>
                </c:pt>
                <c:pt idx="1">
                  <c:v>0.14000000000000001</c:v>
                </c:pt>
                <c:pt idx="2">
                  <c:v>0.34</c:v>
                </c:pt>
                <c:pt idx="3">
                  <c:v>0.27</c:v>
                </c:pt>
                <c:pt idx="4">
                  <c:v>0.11</c:v>
                </c:pt>
                <c:pt idx="5">
                  <c:v>0.01</c:v>
                </c:pt>
                <c:pt idx="6">
                  <c:v>0.06</c:v>
                </c:pt>
              </c:numCache>
            </c:numRef>
          </c:val>
        </c:ser>
        <c:dLbls>
          <c:showLegendKey val="0"/>
          <c:showVal val="1"/>
          <c:showCatName val="0"/>
          <c:showSerName val="0"/>
          <c:showPercent val="0"/>
          <c:showBubbleSize val="0"/>
        </c:dLbls>
        <c:gapWidth val="150"/>
        <c:overlap val="-25"/>
        <c:axId val="937052768"/>
        <c:axId val="937053312"/>
      </c:barChart>
      <c:catAx>
        <c:axId val="937052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bg-BG"/>
          </a:p>
        </c:txPr>
        <c:crossAx val="937053312"/>
        <c:crosses val="autoZero"/>
        <c:auto val="1"/>
        <c:lblAlgn val="ctr"/>
        <c:lblOffset val="100"/>
        <c:noMultiLvlLbl val="0"/>
      </c:catAx>
      <c:valAx>
        <c:axId val="937053312"/>
        <c:scaling>
          <c:orientation val="minMax"/>
        </c:scaling>
        <c:delete val="1"/>
        <c:axPos val="b"/>
        <c:numFmt formatCode="0%" sourceLinked="1"/>
        <c:majorTickMark val="none"/>
        <c:minorTickMark val="none"/>
        <c:tickLblPos val="nextTo"/>
        <c:crossAx val="93705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r>
              <a:rPr lang="bg-BG" sz="1100" b="1">
                <a:latin typeface="+mj-lt"/>
              </a:rPr>
              <a:t>3.МОЛИТЕЛИТЕ ПО СЕМЕЙНО ПОЛОЖЕНИЕ</a:t>
            </a:r>
          </a:p>
        </c:rich>
      </c:tx>
      <c:overlay val="0"/>
      <c:spPr>
        <a:noFill/>
        <a:ln>
          <a:noFill/>
        </a:ln>
        <a:effectLst/>
      </c:spPr>
      <c:txPr>
        <a:bodyPr rot="0" spcFirstLastPara="1" vertOverflow="ellipsis" vert="horz" wrap="square" anchor="ctr" anchorCtr="1"/>
        <a:lstStyle/>
        <a:p>
          <a:pPr>
            <a:defRPr b="1" i="0" u="none" strike="noStrike" kern="1200" baseline="0">
              <a:solidFill>
                <a:schemeClr val="dk1">
                  <a:lumMod val="65000"/>
                  <a:lumOff val="35000"/>
                </a:schemeClr>
              </a:solidFill>
              <a:effectLst/>
              <a:latin typeface="+mn-lt"/>
              <a:ea typeface="+mn-ea"/>
              <a:cs typeface="+mn-cs"/>
            </a:defRPr>
          </a:pPr>
          <a:endParaRPr lang="bg-BG"/>
        </a:p>
      </c:txPr>
    </c:title>
    <c:autoTitleDeleted val="0"/>
    <c:plotArea>
      <c:layout>
        <c:manualLayout>
          <c:layoutTarget val="inner"/>
          <c:xMode val="edge"/>
          <c:yMode val="edge"/>
          <c:x val="2.3952095808383235E-2"/>
          <c:y val="0.19204301075268818"/>
          <c:w val="0.9760479041916168"/>
          <c:h val="0.49362007168458782"/>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'2011-01-12 - 2017-05-01'!$D$1:$G$1</c:f>
              <c:strCache>
                <c:ptCount val="4"/>
                <c:pt idx="0">
                  <c:v>Несемеен</c:v>
                </c:pt>
                <c:pt idx="1">
                  <c:v>Семеен (вкл. фактическо съжителство)</c:v>
                </c:pt>
                <c:pt idx="2">
                  <c:v>Вдовец / Вдовица</c:v>
                </c:pt>
                <c:pt idx="3">
                  <c:v>Разведен / Разделен</c:v>
                </c:pt>
              </c:strCache>
            </c:strRef>
          </c:cat>
          <c:val>
            <c:numRef>
              <c:f>'2011-01-12 - 2017-05-01'!$D$2:$G$2</c:f>
              <c:numCache>
                <c:formatCode>0%</c:formatCode>
                <c:ptCount val="4"/>
                <c:pt idx="0">
                  <c:v>0.32</c:v>
                </c:pt>
                <c:pt idx="1">
                  <c:v>0.48</c:v>
                </c:pt>
                <c:pt idx="2">
                  <c:v>0.06</c:v>
                </c:pt>
                <c:pt idx="3">
                  <c:v>0.03</c:v>
                </c:pt>
              </c:numCache>
            </c:numRef>
          </c:val>
        </c:ser>
        <c:dLbls>
          <c:dLblPos val="inEnd"/>
          <c:showLegendKey val="0"/>
          <c:showVal val="1"/>
          <c:showCatName val="0"/>
          <c:showSerName val="0"/>
          <c:showPercent val="0"/>
          <c:showBubbleSize val="0"/>
        </c:dLbls>
        <c:gapWidth val="41"/>
        <c:axId val="1007420368"/>
        <c:axId val="1688364016"/>
      </c:barChart>
      <c:catAx>
        <c:axId val="1007420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j-lt"/>
                <a:ea typeface="+mn-ea"/>
                <a:cs typeface="+mn-cs"/>
              </a:defRPr>
            </a:pPr>
            <a:endParaRPr lang="bg-BG"/>
          </a:p>
        </c:txPr>
        <c:crossAx val="1688364016"/>
        <c:crosses val="autoZero"/>
        <c:auto val="1"/>
        <c:lblAlgn val="ctr"/>
        <c:lblOffset val="100"/>
        <c:noMultiLvlLbl val="0"/>
      </c:catAx>
      <c:valAx>
        <c:axId val="1688364016"/>
        <c:scaling>
          <c:orientation val="minMax"/>
        </c:scaling>
        <c:delete val="1"/>
        <c:axPos val="l"/>
        <c:numFmt formatCode="0%" sourceLinked="1"/>
        <c:majorTickMark val="none"/>
        <c:minorTickMark val="none"/>
        <c:tickLblPos val="nextTo"/>
        <c:crossAx val="100742036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j-lt"/>
                <a:ea typeface="+mn-ea"/>
                <a:cs typeface="+mn-cs"/>
              </a:defRPr>
            </a:pPr>
            <a:r>
              <a:rPr lang="bg-BG" sz="1100">
                <a:latin typeface="+mj-lt"/>
              </a:rPr>
              <a:t>4 БРОЙ МОЛИТЕЛИ ПО</a:t>
            </a:r>
            <a:r>
              <a:rPr lang="bg-BG" sz="1100" baseline="0">
                <a:latin typeface="+mj-lt"/>
              </a:rPr>
              <a:t> ПРИЗНАКА РОДИТЕЛ</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j-lt"/>
              <a:ea typeface="+mn-ea"/>
              <a:cs typeface="+mn-cs"/>
            </a:defRPr>
          </a:pPr>
          <a:endParaRPr lang="bg-BG"/>
        </a:p>
      </c:txPr>
    </c:title>
    <c:autoTitleDeleted val="0"/>
    <c:plotArea>
      <c:layout>
        <c:manualLayout>
          <c:layoutTarget val="inner"/>
          <c:xMode val="edge"/>
          <c:yMode val="edge"/>
          <c:x val="4.1548630783758263E-2"/>
          <c:y val="0.1279238095238095"/>
          <c:w val="0.91690273843248349"/>
          <c:h val="0.60123224596925384"/>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'2012-01-12 - 2017-05-01'!$D$1:$G$1</c:f>
              <c:strCache>
                <c:ptCount val="4"/>
                <c:pt idx="0">
                  <c:v>Без деца</c:v>
                </c:pt>
                <c:pt idx="1">
                  <c:v>С пълнолетни деца</c:v>
                </c:pt>
                <c:pt idx="2">
                  <c:v>С малолетни деца</c:v>
                </c:pt>
                <c:pt idx="3">
                  <c:v>С непълнолетни деца</c:v>
                </c:pt>
              </c:strCache>
            </c:strRef>
          </c:cat>
          <c:val>
            <c:numRef>
              <c:f>'2012-01-12 - 2017-05-01'!$D$2:$G$2</c:f>
              <c:numCache>
                <c:formatCode>0%</c:formatCode>
                <c:ptCount val="4"/>
                <c:pt idx="0">
                  <c:v>0.3</c:v>
                </c:pt>
                <c:pt idx="1">
                  <c:v>0.21</c:v>
                </c:pt>
                <c:pt idx="2">
                  <c:v>0.23</c:v>
                </c:pt>
                <c:pt idx="3">
                  <c:v>0.28000000000000003</c:v>
                </c:pt>
              </c:numCache>
            </c:numRef>
          </c:val>
        </c:ser>
        <c:dLbls>
          <c:dLblPos val="inEnd"/>
          <c:showLegendKey val="0"/>
          <c:showVal val="1"/>
          <c:showCatName val="0"/>
          <c:showSerName val="0"/>
          <c:showPercent val="0"/>
          <c:showBubbleSize val="0"/>
        </c:dLbls>
        <c:gapWidth val="65"/>
        <c:axId val="1688366192"/>
        <c:axId val="1688362928"/>
      </c:barChart>
      <c:catAx>
        <c:axId val="168836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j-lt"/>
                <a:ea typeface="+mn-ea"/>
                <a:cs typeface="+mn-cs"/>
              </a:defRPr>
            </a:pPr>
            <a:endParaRPr lang="bg-BG"/>
          </a:p>
        </c:txPr>
        <c:crossAx val="1688362928"/>
        <c:crosses val="autoZero"/>
        <c:auto val="1"/>
        <c:lblAlgn val="ctr"/>
        <c:lblOffset val="100"/>
        <c:noMultiLvlLbl val="0"/>
      </c:catAx>
      <c:valAx>
        <c:axId val="1688362928"/>
        <c:scaling>
          <c:orientation val="minMax"/>
        </c:scaling>
        <c:delete val="1"/>
        <c:axPos val="l"/>
        <c:numFmt formatCode="0%" sourceLinked="1"/>
        <c:majorTickMark val="none"/>
        <c:minorTickMark val="none"/>
        <c:tickLblPos val="nextTo"/>
        <c:crossAx val="168836619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l"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bg-BG" sz="1100" b="1" i="0" baseline="0">
                <a:effectLst/>
                <a:latin typeface="+mj-lt"/>
              </a:rPr>
              <a:t>5. МОЛИТЕЛИТЕ СПОРЕД НИВАТА НА РИСКА ОТ РЕЦИДИВ</a:t>
            </a:r>
            <a:endParaRPr lang="bg-BG" sz="1100">
              <a:effectLst/>
              <a:latin typeface="+mj-lt"/>
            </a:endParaRPr>
          </a:p>
        </c:rich>
      </c:tx>
      <c:layout>
        <c:manualLayout>
          <c:xMode val="edge"/>
          <c:yMode val="edge"/>
          <c:x val="2.491391533319829E-2"/>
          <c:y val="5.1480051480051477E-2"/>
        </c:manualLayout>
      </c:layout>
      <c:overlay val="0"/>
    </c:title>
    <c:autoTitleDeleted val="0"/>
    <c:plotArea>
      <c:layout>
        <c:manualLayout>
          <c:layoutTarget val="inner"/>
          <c:xMode val="edge"/>
          <c:yMode val="edge"/>
          <c:x val="0"/>
          <c:y val="0.31741640403057725"/>
          <c:w val="0.99945115716313393"/>
          <c:h val="0.50296428737882959"/>
        </c:manualLayout>
      </c:layout>
      <c:barChart>
        <c:barDir val="col"/>
        <c:grouping val="clustered"/>
        <c:varyColors val="0"/>
        <c:ser>
          <c:idx val="0"/>
          <c:order val="0"/>
          <c:invertIfNegative val="0"/>
          <c:dLbls>
            <c:dLbl>
              <c:idx val="0"/>
              <c:tx>
                <c:rich>
                  <a:bodyPr/>
                  <a:lstStyle/>
                  <a:p>
                    <a:r>
                      <a:rPr lang="en-US"/>
                      <a:t>7 %</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54% </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mj-lt"/>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'2012-01-12 - 2017-05-01'!$D$1:$F$1</c:f>
              <c:strCache>
                <c:ptCount val="3"/>
                <c:pt idx="0">
                  <c:v>Нисък</c:v>
                </c:pt>
                <c:pt idx="1">
                  <c:v>Среден</c:v>
                </c:pt>
                <c:pt idx="2">
                  <c:v>Висок</c:v>
                </c:pt>
              </c:strCache>
            </c:strRef>
          </c:cat>
          <c:val>
            <c:numRef>
              <c:f>'2012-01-12 - 2017-05-01'!$D$2:$F$2</c:f>
              <c:numCache>
                <c:formatCode>General</c:formatCode>
                <c:ptCount val="3"/>
                <c:pt idx="0">
                  <c:v>24</c:v>
                </c:pt>
                <c:pt idx="1">
                  <c:v>39</c:v>
                </c:pt>
                <c:pt idx="2">
                  <c:v>9</c:v>
                </c:pt>
              </c:numCache>
            </c:numRef>
          </c:val>
        </c:ser>
        <c:dLbls>
          <c:showLegendKey val="0"/>
          <c:showVal val="1"/>
          <c:showCatName val="0"/>
          <c:showSerName val="0"/>
          <c:showPercent val="0"/>
          <c:showBubbleSize val="0"/>
        </c:dLbls>
        <c:gapWidth val="150"/>
        <c:overlap val="-25"/>
        <c:axId val="1688363472"/>
        <c:axId val="1688356400"/>
      </c:barChart>
      <c:catAx>
        <c:axId val="1688363472"/>
        <c:scaling>
          <c:orientation val="minMax"/>
        </c:scaling>
        <c:delete val="0"/>
        <c:axPos val="b"/>
        <c:numFmt formatCode="General" sourceLinked="0"/>
        <c:majorTickMark val="none"/>
        <c:minorTickMark val="none"/>
        <c:tickLblPos val="nextTo"/>
        <c:txPr>
          <a:bodyPr/>
          <a:lstStyle/>
          <a:p>
            <a:pPr>
              <a:defRPr>
                <a:latin typeface="+mj-lt"/>
              </a:defRPr>
            </a:pPr>
            <a:endParaRPr lang="bg-BG"/>
          </a:p>
        </c:txPr>
        <c:crossAx val="1688356400"/>
        <c:crosses val="autoZero"/>
        <c:auto val="1"/>
        <c:lblAlgn val="ctr"/>
        <c:lblOffset val="100"/>
        <c:noMultiLvlLbl val="0"/>
      </c:catAx>
      <c:valAx>
        <c:axId val="1688356400"/>
        <c:scaling>
          <c:orientation val="minMax"/>
        </c:scaling>
        <c:delete val="1"/>
        <c:axPos val="l"/>
        <c:numFmt formatCode="General" sourceLinked="1"/>
        <c:majorTickMark val="out"/>
        <c:minorTickMark val="none"/>
        <c:tickLblPos val="nextTo"/>
        <c:crossAx val="1688363472"/>
        <c:crosses val="autoZero"/>
        <c:crossBetween val="between"/>
      </c:valAx>
    </c:plotArea>
    <c:plotVisOnly val="1"/>
    <c:dispBlanksAs val="gap"/>
    <c:showDLblsOverMax val="0"/>
  </c:chart>
  <c:spPr>
    <a:ln>
      <a:solidFill>
        <a:schemeClr val="tx2">
          <a:lumMod val="40000"/>
          <a:lumOff val="60000"/>
        </a:scheme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mj-lt"/>
              </a:defRPr>
            </a:pPr>
            <a:r>
              <a:rPr lang="bg-BG" sz="1100">
                <a:latin typeface="+mj-lt"/>
              </a:rPr>
              <a:t>6. ПРОФИЛ НА ОСЪДЕНИТЕ МОЛИТЕЛИ ПО ДЕФИЦИТНИ ЗОНИ НА РЕЦИДИВНИЯ РИСК</a:t>
            </a:r>
            <a:endParaRPr lang="en-GB" sz="1100">
              <a:latin typeface="+mj-lt"/>
            </a:endParaRPr>
          </a:p>
        </c:rich>
      </c:tx>
      <c:layout/>
      <c:overlay val="0"/>
    </c:title>
    <c:autoTitleDeleted val="0"/>
    <c:plotArea>
      <c:layout>
        <c:manualLayout>
          <c:layoutTarget val="inner"/>
          <c:xMode val="edge"/>
          <c:yMode val="edge"/>
          <c:x val="0.40272936837252188"/>
          <c:y val="0.15213429256594724"/>
          <c:w val="0.42240010455124649"/>
          <c:h val="0.79510791366906475"/>
        </c:manualLayout>
      </c:layout>
      <c:barChart>
        <c:barDir val="bar"/>
        <c:grouping val="clustered"/>
        <c:varyColors val="0"/>
        <c:ser>
          <c:idx val="0"/>
          <c:order val="0"/>
          <c:invertIfNegative val="0"/>
          <c:dPt>
            <c:idx val="0"/>
            <c:invertIfNegative val="0"/>
            <c:bubble3D val="0"/>
            <c:spPr>
              <a:solidFill>
                <a:schemeClr val="accent2"/>
              </a:solidFill>
            </c:spPr>
          </c:dPt>
          <c:dPt>
            <c:idx val="1"/>
            <c:invertIfNegative val="0"/>
            <c:bubble3D val="0"/>
            <c:spPr>
              <a:solidFill>
                <a:schemeClr val="accent2"/>
              </a:solidFill>
            </c:spPr>
          </c:dPt>
          <c:dPt>
            <c:idx val="2"/>
            <c:invertIfNegative val="0"/>
            <c:bubble3D val="0"/>
            <c:spPr>
              <a:solidFill>
                <a:schemeClr val="accent2"/>
              </a:solidFill>
            </c:spPr>
          </c:dPt>
          <c:dPt>
            <c:idx val="3"/>
            <c:invertIfNegative val="0"/>
            <c:bubble3D val="0"/>
            <c:spPr>
              <a:solidFill>
                <a:schemeClr val="accent2"/>
              </a:solidFill>
            </c:spPr>
          </c:dPt>
          <c:dPt>
            <c:idx val="4"/>
            <c:invertIfNegative val="0"/>
            <c:bubble3D val="0"/>
            <c:spPr>
              <a:solidFill>
                <a:schemeClr val="accent2"/>
              </a:solidFill>
            </c:spPr>
          </c:dPt>
          <c:dPt>
            <c:idx val="5"/>
            <c:invertIfNegative val="0"/>
            <c:bubble3D val="0"/>
            <c:spPr>
              <a:solidFill>
                <a:schemeClr val="accent2"/>
              </a:solidFill>
            </c:spPr>
          </c:dPt>
          <c:dPt>
            <c:idx val="8"/>
            <c:invertIfNegative val="0"/>
            <c:bubble3D val="0"/>
            <c:spPr>
              <a:solidFill>
                <a:schemeClr val="accent2"/>
              </a:solidFill>
            </c:spPr>
          </c:dPt>
          <c:dPt>
            <c:idx val="9"/>
            <c:invertIfNegative val="0"/>
            <c:bubble3D val="0"/>
            <c:spPr>
              <a:solidFill>
                <a:schemeClr val="accent2"/>
              </a:solidFill>
            </c:spPr>
          </c:dPt>
          <c:dPt>
            <c:idx val="11"/>
            <c:invertIfNegative val="0"/>
            <c:bubble3D val="0"/>
            <c:spPr>
              <a:solidFill>
                <a:schemeClr val="accent2"/>
              </a:solidFill>
            </c:spPr>
          </c:dPt>
          <c:dLbls>
            <c:dLbl>
              <c:idx val="0"/>
              <c:layout/>
              <c:tx>
                <c:rich>
                  <a:bodyPr/>
                  <a:lstStyle/>
                  <a:p>
                    <a:r>
                      <a:rPr lang="en-US"/>
                      <a:t>73%</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layout/>
                </c:ext>
              </c:extLst>
            </c:dLbl>
            <c:dLbl>
              <c:idx val="8"/>
              <c:layout/>
              <c:tx>
                <c:rich>
                  <a:bodyPr/>
                  <a:lstStyle/>
                  <a:p>
                    <a:r>
                      <a:rPr lang="en-US"/>
                      <a:t>17%</a:t>
                    </a:r>
                  </a:p>
                </c:rich>
              </c:tx>
              <c:showLegendKey val="0"/>
              <c:showVal val="1"/>
              <c:showCatName val="0"/>
              <c:showSerName val="0"/>
              <c:showPercent val="0"/>
              <c:showBubbleSize val="0"/>
              <c:extLst>
                <c:ext xmlns:c15="http://schemas.microsoft.com/office/drawing/2012/chart" uri="{CE6537A1-D6FC-4f65-9D91-7224C49458BB}">
                  <c15:layout/>
                </c:ext>
              </c:extLst>
            </c:dLbl>
            <c:dLbl>
              <c:idx val="9"/>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layout/>
                </c:ext>
              </c:extLst>
            </c:dLbl>
            <c:dLbl>
              <c:idx val="10"/>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layout/>
                </c:ext>
              </c:extLst>
            </c:dLbl>
            <c:dLbl>
              <c:idx val="11"/>
              <c:layout/>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layout/>
                </c:ext>
              </c:extLst>
            </c:dLbl>
            <c:dLbl>
              <c:idx val="12"/>
              <c:layout/>
              <c:tx>
                <c:rich>
                  <a:bodyPr/>
                  <a:lstStyle/>
                  <a:p>
                    <a:fld id="{223DE8BC-DEB9-4837-9BAC-3EEDBF48B207}"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3"/>
              <c:layout/>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'2012-01-12 - 2016-09-30'!$D$1:$Q$1</c:f>
              <c:strCache>
                <c:ptCount val="14"/>
                <c:pt idx="0">
                  <c:v>Начин и умения за мислене. Нагласи</c:v>
                </c:pt>
                <c:pt idx="1">
                  <c:v>Междуличностно поведение, умения за общуване</c:v>
                </c:pt>
                <c:pt idx="2">
                  <c:v>Емоционални/Психологически фактори</c:v>
                </c:pt>
                <c:pt idx="3">
                  <c:v>Злоупотреба с наркотици</c:v>
                </c:pt>
                <c:pt idx="4">
                  <c:v>Злоупотреба с алкохол</c:v>
                </c:pt>
                <c:pt idx="5">
                  <c:v>Начин на живот и обкръжение</c:v>
                </c:pt>
                <c:pt idx="6">
                  <c:v>Управление на финаси и доходи</c:v>
                </c:pt>
                <c:pt idx="7">
                  <c:v>Годност за работа</c:v>
                </c:pt>
                <c:pt idx="8">
                  <c:v>Обучение и образование</c:v>
                </c:pt>
                <c:pt idx="9">
                  <c:v>Взаимоотношения (семейни/брачни)</c:v>
                </c:pt>
                <c:pt idx="10">
                  <c:v>Жилищно устройване</c:v>
                </c:pt>
                <c:pt idx="11">
                  <c:v>Отношение към правонарушението</c:v>
                </c:pt>
                <c:pt idx="12">
                  <c:v>Криминално минало</c:v>
                </c:pt>
                <c:pt idx="13">
                  <c:v>Настоящо правонарушение</c:v>
                </c:pt>
              </c:strCache>
            </c:strRef>
          </c:cat>
          <c:val>
            <c:numRef>
              <c:f>'2012-01-12 - 2016-09-30'!$D$2:$Q$2</c:f>
              <c:numCache>
                <c:formatCode>General</c:formatCode>
                <c:ptCount val="14"/>
                <c:pt idx="0">
                  <c:v>60</c:v>
                </c:pt>
                <c:pt idx="1">
                  <c:v>22</c:v>
                </c:pt>
                <c:pt idx="2">
                  <c:v>15</c:v>
                </c:pt>
                <c:pt idx="3">
                  <c:v>5</c:v>
                </c:pt>
                <c:pt idx="4">
                  <c:v>14</c:v>
                </c:pt>
                <c:pt idx="5">
                  <c:v>26</c:v>
                </c:pt>
                <c:pt idx="6">
                  <c:v>12</c:v>
                </c:pt>
                <c:pt idx="7">
                  <c:v>7</c:v>
                </c:pt>
                <c:pt idx="8">
                  <c:v>10</c:v>
                </c:pt>
                <c:pt idx="9">
                  <c:v>8</c:v>
                </c:pt>
                <c:pt idx="10">
                  <c:v>5</c:v>
                </c:pt>
                <c:pt idx="11">
                  <c:v>46</c:v>
                </c:pt>
                <c:pt idx="12">
                  <c:v>16</c:v>
                </c:pt>
                <c:pt idx="13">
                  <c:v>26</c:v>
                </c:pt>
              </c:numCache>
            </c:numRef>
          </c:val>
        </c:ser>
        <c:dLbls>
          <c:showLegendKey val="0"/>
          <c:showVal val="1"/>
          <c:showCatName val="0"/>
          <c:showSerName val="0"/>
          <c:showPercent val="0"/>
          <c:showBubbleSize val="0"/>
        </c:dLbls>
        <c:gapWidth val="150"/>
        <c:overlap val="-25"/>
        <c:axId val="1688361840"/>
        <c:axId val="1688365648"/>
      </c:barChart>
      <c:catAx>
        <c:axId val="1688361840"/>
        <c:scaling>
          <c:orientation val="minMax"/>
        </c:scaling>
        <c:delete val="0"/>
        <c:axPos val="l"/>
        <c:numFmt formatCode="General" sourceLinked="0"/>
        <c:majorTickMark val="none"/>
        <c:minorTickMark val="none"/>
        <c:tickLblPos val="nextTo"/>
        <c:txPr>
          <a:bodyPr/>
          <a:lstStyle/>
          <a:p>
            <a:pPr>
              <a:defRPr sz="900">
                <a:latin typeface="+mj-lt"/>
              </a:defRPr>
            </a:pPr>
            <a:endParaRPr lang="bg-BG"/>
          </a:p>
        </c:txPr>
        <c:crossAx val="1688365648"/>
        <c:crosses val="autoZero"/>
        <c:auto val="1"/>
        <c:lblAlgn val="ctr"/>
        <c:lblOffset val="100"/>
        <c:noMultiLvlLbl val="0"/>
      </c:catAx>
      <c:valAx>
        <c:axId val="1688365648"/>
        <c:scaling>
          <c:orientation val="minMax"/>
        </c:scaling>
        <c:delete val="1"/>
        <c:axPos val="b"/>
        <c:numFmt formatCode="General" sourceLinked="1"/>
        <c:majorTickMark val="out"/>
        <c:minorTickMark val="none"/>
        <c:tickLblPos val="nextTo"/>
        <c:crossAx val="1688361840"/>
        <c:crosses val="autoZero"/>
        <c:crossBetween val="between"/>
      </c:valAx>
    </c:plotArea>
    <c:plotVisOnly val="1"/>
    <c:dispBlanksAs val="gap"/>
    <c:showDLblsOverMax val="0"/>
  </c:chart>
  <c:spPr>
    <a:ln>
      <a:solidFill>
        <a:schemeClr val="tx2">
          <a:lumMod val="40000"/>
          <a:lumOff val="60000"/>
        </a:schemeClr>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bg-BG" sz="1100" b="1">
                <a:latin typeface="+mj-lt"/>
              </a:rPr>
              <a:t>7.БРОЙ МОЛИТЕЛИ ПО МЕСТОИЗТЪРПЯВАНЕ НА НАКАЗАНИЕТО</a:t>
            </a:r>
            <a:endParaRPr lang="en-US" sz="1100" b="1">
              <a:latin typeface="+mj-lt"/>
            </a:endParaRP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bg-BG"/>
        </a:p>
      </c:txPr>
    </c:title>
    <c:autoTitleDeleted val="0"/>
    <c:plotArea>
      <c:layout>
        <c:manualLayout>
          <c:layoutTarget val="inner"/>
          <c:xMode val="edge"/>
          <c:yMode val="edge"/>
          <c:x val="0.10975425746200329"/>
          <c:y val="2.9705426356589144E-2"/>
          <c:w val="0.88418189586766771"/>
          <c:h val="0.64733980345480069"/>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'2011-01-12 - 2017-05-01'!$D$1:$O$1</c:f>
              <c:strCache>
                <c:ptCount val="12"/>
                <c:pt idx="0">
                  <c:v>Стара Загора</c:v>
                </c:pt>
                <c:pt idx="1">
                  <c:v>София</c:v>
                </c:pt>
                <c:pt idx="2">
                  <c:v>Сливен</c:v>
                </c:pt>
                <c:pt idx="3">
                  <c:v>Пловдив</c:v>
                </c:pt>
                <c:pt idx="4">
                  <c:v>Плевен</c:v>
                </c:pt>
                <c:pt idx="5">
                  <c:v>Пазарджик</c:v>
                </c:pt>
                <c:pt idx="6">
                  <c:v>Ловеч</c:v>
                </c:pt>
                <c:pt idx="7">
                  <c:v>Враца</c:v>
                </c:pt>
                <c:pt idx="8">
                  <c:v>Варна</c:v>
                </c:pt>
                <c:pt idx="9">
                  <c:v>Бургас</c:v>
                </c:pt>
                <c:pt idx="10">
                  <c:v>Бобов дол</c:v>
                </c:pt>
                <c:pt idx="11">
                  <c:v> Белене</c:v>
                </c:pt>
              </c:strCache>
            </c:strRef>
          </c:cat>
          <c:val>
            <c:numRef>
              <c:f>'2011-01-12 - 2017-05-01'!$D$2:$O$2</c:f>
              <c:numCache>
                <c:formatCode>0%</c:formatCode>
                <c:ptCount val="12"/>
                <c:pt idx="0">
                  <c:v>0.06</c:v>
                </c:pt>
                <c:pt idx="1">
                  <c:v>0.19</c:v>
                </c:pt>
                <c:pt idx="2">
                  <c:v>0.03</c:v>
                </c:pt>
                <c:pt idx="3">
                  <c:v>0.06</c:v>
                </c:pt>
                <c:pt idx="4">
                  <c:v>0.04</c:v>
                </c:pt>
                <c:pt idx="5">
                  <c:v>0.02</c:v>
                </c:pt>
                <c:pt idx="6">
                  <c:v>0.11</c:v>
                </c:pt>
                <c:pt idx="7">
                  <c:v>0.1</c:v>
                </c:pt>
                <c:pt idx="8">
                  <c:v>0.08</c:v>
                </c:pt>
                <c:pt idx="9">
                  <c:v>0.08</c:v>
                </c:pt>
                <c:pt idx="10">
                  <c:v>0.02</c:v>
                </c:pt>
                <c:pt idx="11">
                  <c:v>0.2</c:v>
                </c:pt>
              </c:numCache>
            </c:numRef>
          </c:val>
        </c:ser>
        <c:dLbls>
          <c:dLblPos val="inEnd"/>
          <c:showLegendKey val="0"/>
          <c:showVal val="1"/>
          <c:showCatName val="0"/>
          <c:showSerName val="0"/>
          <c:showPercent val="0"/>
          <c:showBubbleSize val="0"/>
        </c:dLbls>
        <c:gapWidth val="41"/>
        <c:axId val="1688361296"/>
        <c:axId val="1688368368"/>
      </c:barChart>
      <c:catAx>
        <c:axId val="1688361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effectLst/>
                <a:latin typeface="+mj-lt"/>
                <a:ea typeface="+mn-ea"/>
                <a:cs typeface="+mn-cs"/>
              </a:defRPr>
            </a:pPr>
            <a:endParaRPr lang="bg-BG"/>
          </a:p>
        </c:txPr>
        <c:crossAx val="1688368368"/>
        <c:crosses val="autoZero"/>
        <c:auto val="1"/>
        <c:lblAlgn val="ctr"/>
        <c:lblOffset val="100"/>
        <c:noMultiLvlLbl val="0"/>
      </c:catAx>
      <c:valAx>
        <c:axId val="1688368368"/>
        <c:scaling>
          <c:orientation val="minMax"/>
        </c:scaling>
        <c:delete val="1"/>
        <c:axPos val="l"/>
        <c:numFmt formatCode="0%" sourceLinked="1"/>
        <c:majorTickMark val="none"/>
        <c:minorTickMark val="none"/>
        <c:tickLblPos val="nextTo"/>
        <c:crossAx val="168836129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bg-B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bg-BG" sz="1000" b="1">
                <a:solidFill>
                  <a:sysClr val="windowText" lastClr="000000"/>
                </a:solidFill>
                <a:latin typeface="+mj-lt"/>
              </a:rPr>
              <a:t>8 НАЛОЖЕНИ НАКАЗАНИЯ С ИЗОЛАЦИЯ В МЛС</a:t>
            </a:r>
            <a:endParaRPr lang="en-US" sz="1000" b="1">
              <a:solidFill>
                <a:sysClr val="windowText" lastClr="000000"/>
              </a:solidFill>
              <a:latin typeface="+mj-l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bg-BG"/>
        </a:p>
      </c:txPr>
    </c:title>
    <c:autoTitleDeleted val="0"/>
    <c:plotArea>
      <c:layout>
        <c:manualLayout>
          <c:layoutTarget val="inner"/>
          <c:xMode val="edge"/>
          <c:yMode val="edge"/>
          <c:x val="0.43261337834027602"/>
          <c:y val="0.18825396825396826"/>
          <c:w val="0.56738662165972387"/>
          <c:h val="0.80380952380952386"/>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'[Р‘СЂРѕР№ РјРѕР»РёС‚РµР»Рё СЃ СЂРµС€РµРЅРё РјРѕР»Р±Рё, РїРѕ РІРёРґ РЅР°РєР°Р·Р°РЅРёРµ.xlsx]2011-01-12 - 2017-07-28'!$F$1:$J$1</c:f>
              <c:strCache>
                <c:ptCount val="5"/>
                <c:pt idx="0">
                  <c:v>Л.св. до 10 год. вкл.</c:v>
                </c:pt>
                <c:pt idx="1">
                  <c:v>Л.св.  10-19 г.</c:v>
                </c:pt>
                <c:pt idx="2">
                  <c:v>Л.св. 20 и повече г.</c:v>
                </c:pt>
                <c:pt idx="3">
                  <c:v>Доживотен затвор</c:v>
                </c:pt>
                <c:pt idx="4">
                  <c:v>Доживотен затвор без замяна</c:v>
                </c:pt>
              </c:strCache>
            </c:strRef>
          </c:cat>
          <c:val>
            <c:numRef>
              <c:f>'[Р‘СЂРѕР№ РјРѕР»РёС‚РµР»Рё СЃ СЂРµС€РµРЅРё РјРѕР»Р±Рё, РїРѕ РІРёРґ РЅР°РєР°Р·Р°РЅРёРµ.xlsx]2011-01-12 - 2017-07-28'!$F$2:$J$2</c:f>
              <c:numCache>
                <c:formatCode>General</c:formatCode>
                <c:ptCount val="5"/>
                <c:pt idx="0">
                  <c:v>298</c:v>
                </c:pt>
                <c:pt idx="1">
                  <c:v>47</c:v>
                </c:pt>
                <c:pt idx="2">
                  <c:v>34</c:v>
                </c:pt>
                <c:pt idx="3">
                  <c:v>11</c:v>
                </c:pt>
                <c:pt idx="4">
                  <c:v>8</c:v>
                </c:pt>
              </c:numCache>
            </c:numRef>
          </c:val>
        </c:ser>
        <c:dLbls>
          <c:showLegendKey val="0"/>
          <c:showVal val="1"/>
          <c:showCatName val="0"/>
          <c:showSerName val="0"/>
          <c:showPercent val="0"/>
          <c:showBubbleSize val="0"/>
        </c:dLbls>
        <c:gapWidth val="150"/>
        <c:overlap val="-25"/>
        <c:axId val="1688362384"/>
        <c:axId val="1688358032"/>
      </c:barChart>
      <c:catAx>
        <c:axId val="1688362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bg-BG"/>
          </a:p>
        </c:txPr>
        <c:crossAx val="1688358032"/>
        <c:crosses val="autoZero"/>
        <c:auto val="1"/>
        <c:lblAlgn val="ctr"/>
        <c:lblOffset val="100"/>
        <c:noMultiLvlLbl val="0"/>
      </c:catAx>
      <c:valAx>
        <c:axId val="1688358032"/>
        <c:scaling>
          <c:orientation val="minMax"/>
        </c:scaling>
        <c:delete val="1"/>
        <c:axPos val="b"/>
        <c:numFmt formatCode="General" sourceLinked="1"/>
        <c:majorTickMark val="none"/>
        <c:minorTickMark val="none"/>
        <c:tickLblPos val="nextTo"/>
        <c:crossAx val="1688362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080" b="1" i="0" u="none" strike="noStrike" kern="1200" spc="0" baseline="0">
                <a:solidFill>
                  <a:sysClr val="windowText" lastClr="000000"/>
                </a:solidFill>
                <a:latin typeface="+mj-lt"/>
                <a:ea typeface="+mn-ea"/>
                <a:cs typeface="+mn-cs"/>
              </a:defRPr>
            </a:pPr>
            <a:r>
              <a:rPr lang="bg-BG" b="1">
                <a:solidFill>
                  <a:sysClr val="windowText" lastClr="000000"/>
                </a:solidFill>
              </a:rPr>
              <a:t>9. МОТИВИ НА МОЛИТЕЛИТЕ</a:t>
            </a:r>
          </a:p>
          <a:p>
            <a:pPr algn="l">
              <a:defRPr b="1">
                <a:solidFill>
                  <a:sysClr val="windowText" lastClr="000000"/>
                </a:solidFill>
              </a:defRPr>
            </a:pPr>
            <a:r>
              <a:rPr lang="bg-BG" b="1">
                <a:solidFill>
                  <a:sysClr val="windowText" lastClr="000000"/>
                </a:solidFill>
              </a:rPr>
              <a:t>повечето молителите са посочили </a:t>
            </a:r>
          </a:p>
          <a:p>
            <a:pPr algn="l">
              <a:defRPr b="1">
                <a:solidFill>
                  <a:sysClr val="windowText" lastClr="000000"/>
                </a:solidFill>
              </a:defRPr>
            </a:pPr>
            <a:r>
              <a:rPr lang="bg-BG" b="1">
                <a:solidFill>
                  <a:sysClr val="windowText" lastClr="000000"/>
                </a:solidFill>
              </a:rPr>
              <a:t>повече от една група мотиви</a:t>
            </a:r>
          </a:p>
        </c:rich>
      </c:tx>
      <c:layout>
        <c:manualLayout>
          <c:xMode val="edge"/>
          <c:yMode val="edge"/>
          <c:x val="3.4194444444444451E-2"/>
          <c:y val="4.6296296296296294E-2"/>
        </c:manualLayout>
      </c:layout>
      <c:overlay val="0"/>
      <c:spPr>
        <a:noFill/>
        <a:ln>
          <a:noFill/>
        </a:ln>
        <a:effectLst/>
      </c:spPr>
      <c:txPr>
        <a:bodyPr rot="0" spcFirstLastPara="1" vertOverflow="ellipsis" vert="horz" wrap="square" anchor="ctr" anchorCtr="1"/>
        <a:lstStyle/>
        <a:p>
          <a:pPr algn="l">
            <a:defRPr sz="1080" b="1" i="0" u="none" strike="noStrike" kern="1200" spc="0" baseline="0">
              <a:solidFill>
                <a:sysClr val="windowText" lastClr="000000"/>
              </a:solidFill>
              <a:latin typeface="+mj-lt"/>
              <a:ea typeface="+mn-ea"/>
              <a:cs typeface="+mn-cs"/>
            </a:defRPr>
          </a:pPr>
          <a:endParaRPr lang="bg-BG"/>
        </a:p>
      </c:txPr>
    </c:title>
    <c:autoTitleDeleted val="0"/>
    <c:plotArea>
      <c:layout>
        <c:manualLayout>
          <c:layoutTarget val="inner"/>
          <c:xMode val="edge"/>
          <c:yMode val="edge"/>
          <c:x val="0.50749000714533321"/>
          <c:y val="2.1689997083697878E-2"/>
          <c:w val="0.49250999285466673"/>
          <c:h val="0.978310002916302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j-lt"/>
                    <a:ea typeface="+mn-ea"/>
                    <a:cs typeface="+mn-cs"/>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'[Р‘СЂРѕР№ РјРѕР»РёС‚РµР»Рё СЃ СЂРµС€РµРЅРё РјРѕР»Р±Рё, РїРѕ РјРѕС‚РёРІРё РЅР° РјРѕР»РёС‚РµР»СЏ.xlsx]2011-02-12 - 2017-07-28'!$D$1:$J$1</c:f>
              <c:strCache>
                <c:ptCount val="7"/>
                <c:pt idx="0">
                  <c:v>Оправдателни мотиви: невиновен, принуден от обстоятелствата</c:v>
                </c:pt>
                <c:pt idx="1">
                  <c:v>Несправедливо осъждане: неотчетени смекчаващи вината обстоятелства, прекомерно наказание, незаконен процес, незаконна/неправилна присъда, пристрастност на институциите</c:v>
                </c:pt>
                <c:pt idx="2">
                  <c:v>Настъпили предпоставки за УПО: настъпило поправяне, работи / учи в затвора, не е наказван, награждаван е, има добро поведение, изтърпял е повече от половината от наказанието</c:v>
                </c:pt>
                <c:pt idx="3">
                  <c:v>Хуманитарни обстоятелства: влошено здраве на осъдения, болен близък, напреднала възраст на осъдения, бедност на семейството, необходимост да се грижи за деца, необходимост да се грижи за семейството</c:v>
                </c:pt>
                <c:pt idx="4">
                  <c:v>Прекомерност / нецелесъобразност на репресия: Поправянето не е оценено, затворът вреди на осъдения, наказанието прези на осъдения да се развива</c:v>
                </c:pt>
                <c:pt idx="5">
                  <c:v>Разкаяние</c:v>
                </c:pt>
                <c:pt idx="6">
                  <c:v>Други</c:v>
                </c:pt>
              </c:strCache>
            </c:strRef>
          </c:cat>
          <c:val>
            <c:numRef>
              <c:f>'[Р‘СЂРѕР№ РјРѕР»РёС‚РµР»Рё СЃ СЂРµС€РµРЅРё РјРѕР»Р±Рё, РїРѕ РјРѕС‚РёРІРё РЅР° РјРѕР»РёС‚РµР»СЏ.xlsx]2011-02-12 - 2017-07-28'!$D$2:$J$2</c:f>
              <c:numCache>
                <c:formatCode>General</c:formatCode>
                <c:ptCount val="7"/>
                <c:pt idx="0">
                  <c:v>44</c:v>
                </c:pt>
                <c:pt idx="1">
                  <c:v>55</c:v>
                </c:pt>
                <c:pt idx="2">
                  <c:v>38</c:v>
                </c:pt>
                <c:pt idx="3">
                  <c:v>196</c:v>
                </c:pt>
                <c:pt idx="4">
                  <c:v>24</c:v>
                </c:pt>
                <c:pt idx="5">
                  <c:v>76</c:v>
                </c:pt>
                <c:pt idx="6">
                  <c:v>138</c:v>
                </c:pt>
              </c:numCache>
            </c:numRef>
          </c:val>
        </c:ser>
        <c:dLbls>
          <c:showLegendKey val="0"/>
          <c:showVal val="1"/>
          <c:showCatName val="0"/>
          <c:showSerName val="0"/>
          <c:showPercent val="0"/>
          <c:showBubbleSize val="0"/>
        </c:dLbls>
        <c:gapWidth val="150"/>
        <c:overlap val="-25"/>
        <c:axId val="1688352048"/>
        <c:axId val="1688357488"/>
      </c:barChart>
      <c:catAx>
        <c:axId val="1688352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bg-BG"/>
          </a:p>
        </c:txPr>
        <c:crossAx val="1688357488"/>
        <c:crosses val="autoZero"/>
        <c:auto val="1"/>
        <c:lblAlgn val="ctr"/>
        <c:lblOffset val="100"/>
        <c:noMultiLvlLbl val="0"/>
      </c:catAx>
      <c:valAx>
        <c:axId val="1688357488"/>
        <c:scaling>
          <c:orientation val="minMax"/>
        </c:scaling>
        <c:delete val="1"/>
        <c:axPos val="b"/>
        <c:numFmt formatCode="General" sourceLinked="1"/>
        <c:majorTickMark val="none"/>
        <c:minorTickMark val="none"/>
        <c:tickLblPos val="nextTo"/>
        <c:crossAx val="1688352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mj-lt"/>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F64A-0FD0-4712-B67B-E06B0D32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6295</Words>
  <Characters>35886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ОТЧЕТЕН ДОКЛАД</vt:lpstr>
    </vt:vector>
  </TitlesOfParts>
  <Company>ADMP</Company>
  <LinksUpToDate>false</LinksUpToDate>
  <CharactersWithSpaces>42097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lastModifiedBy>Iva Pushkarova</cp:lastModifiedBy>
  <cp:revision>2</cp:revision>
  <cp:lastPrinted>2017-07-28T12:55:00Z</cp:lastPrinted>
  <dcterms:created xsi:type="dcterms:W3CDTF">2017-09-18T11:50:00Z</dcterms:created>
  <dcterms:modified xsi:type="dcterms:W3CDTF">2017-09-18T11:50:00Z</dcterms:modified>
</cp:coreProperties>
</file>