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2F378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2F37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април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2F378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003F74">
        <w:t>януари</w:t>
      </w:r>
      <w:r>
        <w:t xml:space="preserve"> – </w:t>
      </w:r>
      <w:r w:rsidR="00003F74">
        <w:t>април</w:t>
      </w:r>
      <w:r>
        <w:t xml:space="preserve">  20</w:t>
      </w:r>
      <w:r w:rsidR="00003F74">
        <w:t>2</w:t>
      </w:r>
      <w:r w:rsidR="002F3788">
        <w:rPr>
          <w:lang w:val="en-US"/>
        </w:rPr>
        <w:t>3</w:t>
      </w:r>
      <w:r>
        <w:t xml:space="preserve"> г.</w:t>
      </w:r>
      <w:r w:rsidRPr="004B4D19">
        <w:t xml:space="preserve"> в Комисията са постъпили общо </w:t>
      </w:r>
      <w:r w:rsidR="002F3788">
        <w:rPr>
          <w:lang w:val="en-US"/>
        </w:rPr>
        <w:t>115</w:t>
      </w:r>
      <w:r w:rsidRPr="004B4D19">
        <w:t xml:space="preserve"> молби. Комисията е провела </w:t>
      </w:r>
      <w:r w:rsidR="00EA7A30">
        <w:rPr>
          <w:lang w:val="en-US"/>
        </w:rPr>
        <w:t>9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EA7A30">
        <w:rPr>
          <w:lang w:val="en-US"/>
        </w:rPr>
        <w:t>131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EA7A30"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A7A30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A7A30" w:rsidP="00EA7A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6E7E98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A7A30" w:rsidP="00EA7A3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35B8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7A30" w:rsidP="00EA7A3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5335B8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91002B" w:rsidP="0091002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16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.02.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91002B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91002B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91002B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91002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91002B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91002B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91002B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91002B" w:rsidRDefault="0091002B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91002B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91002B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16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91002B" w:rsidP="0091002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5335B8" w:rsidP="0091002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1002B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5335B8" w:rsidP="0091002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1002B">
              <w:rPr>
                <w:sz w:val="21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5335B8" w:rsidP="0091002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91002B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91002B" w:rsidP="0091002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1002B"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5335B8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1002B"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5335B8" w:rsidP="005335B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  <w:r w:rsidR="0091002B">
              <w:rPr>
                <w:b/>
                <w:bCs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91002B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30.03.2023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91002B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91002B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91002B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  <w:r w:rsidR="006E7E98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91002B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06.04.2023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91002B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24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91002B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12.04.2023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91002B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91002B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27.04.2023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91002B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91002B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6E7E9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812A2E" w:rsidP="0091002B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91002B">
              <w:rPr>
                <w:b/>
                <w:color w:val="FFFFFF" w:themeColor="background1"/>
                <w:sz w:val="21"/>
                <w:szCs w:val="21"/>
              </w:rPr>
              <w:t>31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91002B">
              <w:rPr>
                <w:b/>
                <w:color w:val="FFFFFF" w:themeColor="background1"/>
                <w:sz w:val="21"/>
                <w:szCs w:val="21"/>
              </w:rPr>
              <w:t>31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</w:t>
            </w: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91002B">
              <w:rPr>
                <w:b/>
                <w:color w:val="FFFFFF" w:themeColor="background1"/>
                <w:sz w:val="21"/>
                <w:szCs w:val="21"/>
              </w:rPr>
              <w:t>31</w:t>
            </w:r>
          </w:p>
        </w:tc>
      </w:tr>
    </w:tbl>
    <w:p w:rsidR="00346E43" w:rsidRPr="00EA7A30" w:rsidRDefault="00EA7A30" w:rsidP="00346E43">
      <w:pPr>
        <w:pStyle w:val="ListParagraph"/>
        <w:ind w:left="0" w:firstLine="708"/>
        <w:jc w:val="both"/>
      </w:pPr>
      <w:r>
        <w:t>За периода работата протичаше нормално, поради отпадане на обективните причини, които въздействаха отрицателно през по-раншните периоди.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 xml:space="preserve">През периода Комисията </w:t>
      </w:r>
      <w:r w:rsidR="00812A2E">
        <w:t xml:space="preserve">се </w:t>
      </w:r>
      <w:r w:rsidR="00346E43">
        <w:t xml:space="preserve">е произнесла с предложение за прекратяване на разглеждането </w:t>
      </w:r>
      <w:r w:rsidR="00812A2E">
        <w:t xml:space="preserve">на </w:t>
      </w:r>
      <w:r w:rsidR="0091002B">
        <w:t>21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0A55F1" w:rsidRDefault="000A55F1" w:rsidP="00C6516D">
      <w:pPr>
        <w:pStyle w:val="ListParagraph"/>
        <w:ind w:left="1" w:firstLine="708"/>
        <w:rPr>
          <w:b/>
        </w:rPr>
      </w:pPr>
    </w:p>
    <w:p w:rsidR="000A55F1" w:rsidRDefault="000A55F1" w:rsidP="00C6516D">
      <w:pPr>
        <w:pStyle w:val="ListParagraph"/>
        <w:ind w:left="1" w:firstLine="708"/>
        <w:rPr>
          <w:b/>
        </w:rPr>
      </w:pPr>
      <w:bookmarkStart w:id="0" w:name="_GoBack"/>
      <w:bookmarkEnd w:id="0"/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lastRenderedPageBreak/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91002B">
        <w:t>110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>През период</w:t>
      </w:r>
      <w:r w:rsidR="0091002B">
        <w:t>а</w:t>
      </w:r>
      <w:r w:rsidRPr="00A86439">
        <w:t xml:space="preserve"> </w:t>
      </w:r>
      <w:r w:rsidRPr="005920DB">
        <w:t>Комисията</w:t>
      </w:r>
      <w:r w:rsidR="00EB45C4">
        <w:t xml:space="preserve"> </w:t>
      </w:r>
      <w:r w:rsidR="0091002B">
        <w:t>н</w:t>
      </w:r>
      <w:r w:rsidR="00EB45C4">
        <w:t>е</w:t>
      </w:r>
      <w:r w:rsidR="0091002B">
        <w:t xml:space="preserve"> е</w:t>
      </w:r>
      <w:r w:rsidR="00EB45C4">
        <w:t xml:space="preserve"> </w:t>
      </w:r>
      <w:r w:rsidR="000A7DAB">
        <w:t>на</w:t>
      </w:r>
      <w:r w:rsidR="00EB45C4">
        <w:t xml:space="preserve">правила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91002B">
        <w:t>.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0F" w:rsidRDefault="00542A0F">
      <w:r>
        <w:separator/>
      </w:r>
    </w:p>
  </w:endnote>
  <w:endnote w:type="continuationSeparator" w:id="0">
    <w:p w:rsidR="00542A0F" w:rsidRDefault="0054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5F1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0F" w:rsidRDefault="00542A0F">
      <w:r>
        <w:separator/>
      </w:r>
    </w:p>
  </w:footnote>
  <w:footnote w:type="continuationSeparator" w:id="0">
    <w:p w:rsidR="00542A0F" w:rsidRDefault="0054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003F7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АПРИЛ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>
      <w:rPr>
        <w:rFonts w:asciiTheme="majorHAnsi" w:hAnsiTheme="majorHAnsi"/>
        <w:b/>
        <w:sz w:val="20"/>
        <w:szCs w:val="20"/>
      </w:rPr>
      <w:t>2</w:t>
    </w:r>
    <w:r w:rsidR="002F3788">
      <w:rPr>
        <w:rFonts w:asciiTheme="majorHAnsi" w:hAnsiTheme="majorHAnsi"/>
        <w:b/>
        <w:sz w:val="20"/>
        <w:szCs w:val="20"/>
        <w:lang w:val="en-US"/>
      </w:rPr>
      <w:t>3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812A2E" w:rsidP="00812A2E">
    <w:pPr>
      <w:pStyle w:val="Header"/>
      <w:tabs>
        <w:tab w:val="clear" w:pos="4536"/>
        <w:tab w:val="clear" w:pos="9072"/>
        <w:tab w:val="left" w:pos="318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5F1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1297F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3788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4F8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29E6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5B8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2A0F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2A2E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2B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9680A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A7A30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800D20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88BD-4BDC-427F-9151-DF785930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4</cp:revision>
  <cp:lastPrinted>2020-06-18T07:37:00Z</cp:lastPrinted>
  <dcterms:created xsi:type="dcterms:W3CDTF">2023-05-04T07:41:00Z</dcterms:created>
  <dcterms:modified xsi:type="dcterms:W3CDTF">2023-05-04T08:00:00Z</dcterms:modified>
</cp:coreProperties>
</file>