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DB" w:rsidRPr="00704282" w:rsidRDefault="000E7BDB" w:rsidP="000E7BDB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Приложение № 4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0E7BDB" w:rsidRDefault="000E7BDB" w:rsidP="000E7BD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 xml:space="preserve">Формуляр за кандидатстване в конкурса на президентската </w:t>
      </w:r>
    </w:p>
    <w:p w:rsidR="000E7BDB" w:rsidRPr="00704282" w:rsidRDefault="000E7BDB" w:rsidP="000E7BD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 xml:space="preserve">инициатива Награда „Джон Атанасов“, категория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 xml:space="preserve">„Джон Атанасов – дебютен пробив в областта на </w:t>
      </w:r>
    </w:p>
    <w:p w:rsidR="000E7BDB" w:rsidRPr="00704282" w:rsidRDefault="000E7BDB" w:rsidP="000E7BD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 xml:space="preserve">компютърните технологии”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0E7BDB" w:rsidRPr="00704282" w:rsidRDefault="000E7BDB" w:rsidP="000E7BDB">
      <w:pPr>
        <w:spacing w:after="0"/>
        <w:jc w:val="center"/>
        <w:rPr>
          <w:rFonts w:cs="Times New Roman"/>
          <w:b/>
          <w:bCs/>
        </w:rPr>
      </w:pPr>
    </w:p>
    <w:p w:rsidR="000E7BDB" w:rsidRPr="00704282" w:rsidRDefault="000E7BDB" w:rsidP="000E7BDB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Име, презиме и фамилия на кандидата.</w:t>
      </w:r>
    </w:p>
    <w:p w:rsidR="000E7BDB" w:rsidRPr="00704282" w:rsidRDefault="000E7BDB" w:rsidP="000E7BDB">
      <w:pPr>
        <w:widowControl/>
        <w:suppressAutoHyphens w:val="0"/>
        <w:overflowPunct/>
        <w:spacing w:before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0E7BDB" w:rsidRPr="00704282" w:rsidRDefault="000E7BDB" w:rsidP="000E7BDB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Дата на раждане, тел., е-mail.</w:t>
      </w:r>
    </w:p>
    <w:p w:rsidR="000E7BDB" w:rsidRPr="00704282" w:rsidRDefault="000E7BDB" w:rsidP="000E7BDB">
      <w:pPr>
        <w:widowControl/>
        <w:suppressAutoHyphens w:val="0"/>
        <w:overflowPunct/>
        <w:spacing w:before="240"/>
        <w:ind w:left="426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.....................................................................................................................</w:t>
      </w:r>
    </w:p>
    <w:p w:rsidR="000E7BDB" w:rsidRPr="00704282" w:rsidRDefault="000E7BDB" w:rsidP="000E7BDB">
      <w:pPr>
        <w:widowControl/>
        <w:suppressAutoHyphens w:val="0"/>
        <w:overflowPunct/>
        <w:spacing w:before="240"/>
        <w:ind w:left="426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</w:p>
    <w:p w:rsidR="000E7BDB" w:rsidRPr="00704282" w:rsidRDefault="000E7BDB" w:rsidP="000E7BDB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Учебно заведение, в което се обучава / е завършил кандидатът.</w:t>
      </w:r>
    </w:p>
    <w:p w:rsidR="000E7BDB" w:rsidRPr="00704282" w:rsidRDefault="000E7BDB" w:rsidP="000E7BDB">
      <w:pPr>
        <w:widowControl/>
        <w:suppressAutoHyphens w:val="0"/>
        <w:overflowPunct/>
        <w:spacing w:before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0E7BDB" w:rsidRPr="00704282" w:rsidRDefault="000E7BDB" w:rsidP="000E7BDB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Участия и класирания в изброени национални и международни научни фестивали и състезания; участия в изследователски школи, научни фестивали, семинари, научни конгреси; публикации в научни и популярни списания:</w:t>
      </w:r>
    </w:p>
    <w:p w:rsidR="000E7BDB" w:rsidRPr="00704282" w:rsidRDefault="000E7BDB" w:rsidP="000E7BDB">
      <w:pPr>
        <w:widowControl/>
        <w:suppressAutoHyphens w:val="0"/>
        <w:overflowPunct/>
        <w:spacing w:before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0E7BDB" w:rsidRPr="00704282" w:rsidRDefault="000E7BDB" w:rsidP="000E7BDB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Преподаватели, с най-голям принос за постиженията през годината, месторабота, контакти:</w:t>
      </w:r>
    </w:p>
    <w:p w:rsidR="000E7BDB" w:rsidRPr="00704282" w:rsidRDefault="000E7BDB" w:rsidP="000E7BDB">
      <w:pPr>
        <w:widowControl/>
        <w:suppressAutoHyphens w:val="0"/>
        <w:overflowPunct/>
        <w:spacing w:before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0E7BDB" w:rsidRPr="00704282" w:rsidRDefault="000E7BDB" w:rsidP="000E7BDB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Проект или проекти, с които е кандидатът е кандидатствал в съответните състезания, както и тяхното описание до 3 стандартни машинописни страници / 1800 знака на стр./ общо:</w:t>
      </w:r>
    </w:p>
    <w:p w:rsidR="000E7BDB" w:rsidRPr="00704282" w:rsidRDefault="000E7BDB" w:rsidP="000E7BDB">
      <w:pPr>
        <w:widowControl/>
        <w:suppressAutoHyphens w:val="0"/>
        <w:overflowPunct/>
        <w:spacing w:before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lastRenderedPageBreak/>
        <w:t>***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Показатели за класиране на кандидатите за</w:t>
      </w:r>
    </w:p>
    <w:p w:rsidR="000E7BDB" w:rsidRPr="00704282" w:rsidRDefault="000E7BDB" w:rsidP="000E7BD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 xml:space="preserve">Грамота „Джон Атанасов – дебютен пробив в областта на </w:t>
      </w:r>
    </w:p>
    <w:p w:rsidR="000E7BDB" w:rsidRPr="00704282" w:rsidRDefault="000E7BDB" w:rsidP="000E7BD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компютърните технологии“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ind w:firstLine="708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За класиране на учениците – кандидати за носители на грамотата се отчитат следните постижения на участниците в рамките на системата от национални и международни състезания и фестивали: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1)</w:t>
      </w:r>
      <w:r w:rsidRPr="00704282">
        <w:rPr>
          <w:rFonts w:eastAsia="Calibri" w:cs="Times New Roman"/>
          <w:color w:val="auto"/>
          <w:lang w:eastAsia="en-US" w:bidi="ar-SA"/>
        </w:rPr>
        <w:tab/>
        <w:t>Европейски конкурс за млади учени (EUCYS). Допускат се само лауреати от категория „Компютърни науки“.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Основна тежест: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Първа награда и специална награда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Първа награда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Втора награда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Трета награда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Спонсорска премия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Вземат се под внимание: Участвал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2)</w:t>
      </w:r>
      <w:r w:rsidRPr="00704282">
        <w:rPr>
          <w:rFonts w:eastAsia="Calibri" w:cs="Times New Roman"/>
          <w:color w:val="auto"/>
          <w:lang w:eastAsia="en-US" w:bidi="ar-SA"/>
        </w:rPr>
        <w:tab/>
        <w:t>Интел международен панаир на науката и инженерството (Intel ISEF). Допускат се само лауреати от категориите „Софтуерни системи“, „Роботика и интелигентни машини“, „Вградени устройства“, и изчислителните под категории на всички други категории.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Основна тежест: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Награда „Най-добър в категория“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Първа награда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Втора награда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Трета награда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Четвърта награда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>Спонсорска премия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Вземат се под внимание: Участвал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lastRenderedPageBreak/>
        <w:t>3)</w:t>
      </w:r>
      <w:r w:rsidRPr="00704282">
        <w:rPr>
          <w:rFonts w:eastAsia="Calibri" w:cs="Times New Roman"/>
          <w:color w:val="auto"/>
          <w:lang w:eastAsia="en-US" w:bidi="ar-SA"/>
        </w:rPr>
        <w:tab/>
        <w:t>Научен фестивал на „Гугъл“ (Google Science Fair).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Основна тежест: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>Награда „Grand Prize“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Награда „Virgin Galactic Pioneer Award”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Включване в топ 20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Регионален финалист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4)</w:t>
      </w:r>
      <w:r w:rsidRPr="00704282">
        <w:rPr>
          <w:rFonts w:eastAsia="Calibri" w:cs="Times New Roman"/>
          <w:color w:val="auto"/>
          <w:lang w:eastAsia="en-US" w:bidi="ar-SA"/>
        </w:rPr>
        <w:tab/>
        <w:t>Международна изследователска школа RSI (Massachusetts Institute of Technology). Допускат се само участници в направление информатика.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Основна тежест: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Влизане в топ 5 на писмени разработки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Влизане в топ 5 на устни презентации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Влизане в топ 10 на устни презентации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Вземат се под внимание: Участие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5)</w:t>
      </w:r>
      <w:r w:rsidRPr="00704282">
        <w:rPr>
          <w:rFonts w:eastAsia="Calibri" w:cs="Times New Roman"/>
          <w:color w:val="auto"/>
          <w:lang w:eastAsia="en-US" w:bidi="ar-SA"/>
        </w:rPr>
        <w:tab/>
        <w:t>Участия и класиране в състезанията на Institute of Electrical and Electronics Engineers (IEEE) в направления, касаещи компютърните науки.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Основна тежест: Класиране сред най-добрите 3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Вземат се под внимание: Участие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6)</w:t>
      </w:r>
      <w:r w:rsidRPr="00704282">
        <w:rPr>
          <w:rFonts w:eastAsia="Calibri" w:cs="Times New Roman"/>
          <w:color w:val="auto"/>
          <w:lang w:eastAsia="en-US" w:bidi="ar-SA"/>
        </w:rPr>
        <w:tab/>
        <w:t>Участие в състезанието InfoMatrix.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Основна тежест: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Първа награда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Втора награда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Трета награда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7)</w:t>
      </w:r>
      <w:r w:rsidRPr="00704282">
        <w:rPr>
          <w:rFonts w:eastAsia="Calibri" w:cs="Times New Roman"/>
          <w:color w:val="auto"/>
          <w:lang w:eastAsia="en-US" w:bidi="ar-SA"/>
        </w:rPr>
        <w:tab/>
        <w:t>Участие в доказани национални научни школи, включително:  Лятна изследователска школа, организирана от Института по информатика и математика към БАН; летните школи на Фондация „Миню Балкански“ в областта на компютърните науки и др.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Основна тежест: Класиран по ранг листа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8)</w:t>
      </w:r>
      <w:r w:rsidRPr="00704282">
        <w:rPr>
          <w:rFonts w:eastAsia="Calibri" w:cs="Times New Roman"/>
          <w:color w:val="auto"/>
          <w:lang w:eastAsia="en-US" w:bidi="ar-SA"/>
        </w:rPr>
        <w:tab/>
        <w:t>Участия и класиране в Data Mining Cup (DMC).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Основна тежест: Класиране сред най-добрите 3 проекта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Вземат се под внимание: Участие 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9)</w:t>
      </w:r>
      <w:r w:rsidRPr="00704282">
        <w:rPr>
          <w:rFonts w:eastAsia="Calibri" w:cs="Times New Roman"/>
          <w:color w:val="auto"/>
          <w:lang w:eastAsia="en-US" w:bidi="ar-SA"/>
        </w:rPr>
        <w:tab/>
        <w:t>Приемат се и се вземат предвид доказаните участия и класирания в международните научни инициативи; международни школи, научни фестивали, семинари, научни конгреси; публикации в научни и популярни списания: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IoT WF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INESPO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 xml:space="preserve">Digital Wind; 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 xml:space="preserve">Imagine Cup; 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 xml:space="preserve">NASA Space Apps, 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METU NCC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Life.Love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ASME Competitions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Международна олимпиада за изобретателски проект (IYIPO)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JugendForscht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 xml:space="preserve">The Scratch competition 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 xml:space="preserve">The Codo Dojo 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First Lego League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The RoboCup Junior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Софийски фестивал на науката</w:t>
      </w:r>
    </w:p>
    <w:p w:rsidR="000E7BDB" w:rsidRPr="00704282" w:rsidRDefault="000E7BDB" w:rsidP="000E7BDB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ACM International Collegiate Programming Contest</w:t>
      </w:r>
    </w:p>
    <w:p w:rsidR="000E7BDB" w:rsidRPr="00704282" w:rsidRDefault="000E7BDB" w:rsidP="000E7BDB">
      <w:pPr>
        <w:widowControl/>
        <w:numPr>
          <w:ilvl w:val="1"/>
          <w:numId w:val="24"/>
        </w:numPr>
        <w:suppressAutoHyphens w:val="0"/>
        <w:overflowPunct/>
        <w:spacing w:after="0"/>
        <w:ind w:left="709" w:hanging="425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Конкурс за разработване на 3D модел за ученици и кандидат студенти на Технически университет – София</w:t>
      </w: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0E7BDB" w:rsidRPr="00704282" w:rsidRDefault="000E7BDB" w:rsidP="000E7BD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10)</w:t>
      </w:r>
      <w:r w:rsidRPr="00704282">
        <w:rPr>
          <w:rFonts w:eastAsia="Calibri" w:cs="Times New Roman"/>
          <w:color w:val="auto"/>
          <w:lang w:eastAsia="en-US" w:bidi="ar-SA"/>
        </w:rPr>
        <w:tab/>
        <w:t>Приемат се публикации (самостоятелни или в съавторство) в научни и научнопопулярни издания.</w:t>
      </w:r>
    </w:p>
    <w:p w:rsidR="000E7BDB" w:rsidRPr="00704282" w:rsidRDefault="000E7BDB" w:rsidP="000E7BDB">
      <w:pPr>
        <w:widowControl/>
        <w:tabs>
          <w:tab w:val="left" w:pos="1086"/>
        </w:tabs>
        <w:suppressAutoHyphens w:val="0"/>
        <w:spacing w:after="0"/>
        <w:jc w:val="both"/>
        <w:rPr>
          <w:rFonts w:eastAsia="Syntax-Bold" w:cs="Times New Roman"/>
          <w:color w:val="000000"/>
        </w:rPr>
      </w:pPr>
    </w:p>
    <w:p w:rsidR="000E7BDB" w:rsidRPr="00704282" w:rsidRDefault="000E7BDB" w:rsidP="000E7BDB">
      <w:pPr>
        <w:widowControl/>
        <w:tabs>
          <w:tab w:val="left" w:pos="0"/>
          <w:tab w:val="left" w:pos="1086"/>
        </w:tabs>
        <w:suppressAutoHyphens w:val="0"/>
        <w:spacing w:after="0"/>
        <w:jc w:val="both"/>
        <w:rPr>
          <w:rFonts w:ascii="Helvetica" w:eastAsia="Syntax-Bold" w:hAnsi="Helvetica" w:cs="Syntax-Italic"/>
          <w:color w:val="000000"/>
          <w:sz w:val="20"/>
          <w:szCs w:val="22"/>
        </w:rPr>
      </w:pPr>
    </w:p>
    <w:p w:rsidR="000E7BDB" w:rsidRPr="00704282" w:rsidRDefault="000E7BDB" w:rsidP="000E7BDB">
      <w:pPr>
        <w:widowControl/>
        <w:tabs>
          <w:tab w:val="left" w:pos="1086"/>
        </w:tabs>
        <w:suppressAutoHyphens w:val="0"/>
        <w:spacing w:after="0"/>
        <w:jc w:val="both"/>
        <w:rPr>
          <w:rFonts w:ascii="Helvetica" w:eastAsia="Syntax-Bold" w:hAnsi="Helvetica" w:cs="Syntax-Italic"/>
          <w:color w:val="000000"/>
          <w:sz w:val="20"/>
          <w:szCs w:val="22"/>
        </w:rPr>
      </w:pPr>
    </w:p>
    <w:p w:rsidR="000E7BDB" w:rsidRDefault="000E7BDB" w:rsidP="000E7BDB">
      <w:pPr>
        <w:pStyle w:val="form"/>
        <w:numPr>
          <w:ilvl w:val="0"/>
          <w:numId w:val="0"/>
        </w:numPr>
        <w:spacing w:line="276" w:lineRule="auto"/>
      </w:pPr>
    </w:p>
    <w:p w:rsidR="006221EF" w:rsidRDefault="006221EF" w:rsidP="006221EF">
      <w:pPr>
        <w:pStyle w:val="form"/>
        <w:numPr>
          <w:ilvl w:val="0"/>
          <w:numId w:val="0"/>
        </w:numPr>
        <w:tabs>
          <w:tab w:val="clear" w:pos="1086"/>
          <w:tab w:val="left" w:pos="0"/>
        </w:tabs>
        <w:spacing w:line="276" w:lineRule="auto"/>
      </w:pPr>
      <w:bookmarkStart w:id="0" w:name="_GoBack"/>
      <w:bookmarkEnd w:id="0"/>
    </w:p>
    <w:sectPr w:rsidR="006221EF" w:rsidSect="000E7BDB">
      <w:headerReference w:type="default" r:id="rId8"/>
      <w:footerReference w:type="default" r:id="rId9"/>
      <w:pgSz w:w="11906" w:h="16838"/>
      <w:pgMar w:top="2892" w:right="2834" w:bottom="2268" w:left="1418" w:header="2381" w:footer="113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37" w:rsidRDefault="00E21E37">
      <w:pPr>
        <w:spacing w:after="0" w:line="240" w:lineRule="auto"/>
      </w:pPr>
      <w:r>
        <w:separator/>
      </w:r>
    </w:p>
  </w:endnote>
  <w:endnote w:type="continuationSeparator" w:id="0">
    <w:p w:rsidR="00E21E37" w:rsidRDefault="00E2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Default="00221E27">
    <w:pPr>
      <w:pStyle w:val="Footer"/>
    </w:pPr>
    <w:r>
      <w:fldChar w:fldCharType="begin"/>
    </w:r>
    <w:r w:rsidR="00707AC6">
      <w:instrText>PAGE</w:instrText>
    </w:r>
    <w:r>
      <w:fldChar w:fldCharType="separate"/>
    </w:r>
    <w:r w:rsidR="000E7BD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37" w:rsidRDefault="00E21E37">
      <w:r>
        <w:separator/>
      </w:r>
    </w:p>
  </w:footnote>
  <w:footnote w:type="continuationSeparator" w:id="0">
    <w:p w:rsidR="00E21E37" w:rsidRDefault="00E2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Pr="00436E7E" w:rsidRDefault="00C45D60">
    <w:pPr>
      <w:pStyle w:val="Header"/>
      <w:ind w:right="-80"/>
      <w:rPr>
        <w:lang w:val="fr-FR"/>
      </w:rPr>
    </w:pPr>
    <w:r>
      <w:rPr>
        <w:noProof/>
        <w:lang w:eastAsia="bg-BG" w:bidi="ar-SA"/>
      </w:rPr>
      <w:drawing>
        <wp:anchor distT="0" distB="0" distL="0" distR="0" simplePos="0" relativeHeight="251659264" behindDoc="1" locked="1" layoutInCell="1" allowOverlap="1">
          <wp:simplePos x="0" y="0"/>
          <wp:positionH relativeFrom="page">
            <wp:posOffset>3596640</wp:posOffset>
          </wp:positionH>
          <wp:positionV relativeFrom="page">
            <wp:posOffset>0</wp:posOffset>
          </wp:positionV>
          <wp:extent cx="3428608" cy="9194104"/>
          <wp:effectExtent l="25400" t="0" r="392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8608" cy="9194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E7E"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16524ED"/>
    <w:multiLevelType w:val="hybridMultilevel"/>
    <w:tmpl w:val="5FB2B884"/>
    <w:lvl w:ilvl="0" w:tplc="7AC415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4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6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9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2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7E15AA"/>
    <w:multiLevelType w:val="hybridMultilevel"/>
    <w:tmpl w:val="9AE267C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6"/>
  </w:num>
  <w:num w:numId="5">
    <w:abstractNumId w:val="20"/>
  </w:num>
  <w:num w:numId="6">
    <w:abstractNumId w:val="21"/>
  </w:num>
  <w:num w:numId="7">
    <w:abstractNumId w:val="22"/>
  </w:num>
  <w:num w:numId="8">
    <w:abstractNumId w:val="0"/>
  </w:num>
  <w:num w:numId="9">
    <w:abstractNumId w:val="15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23"/>
  </w:num>
  <w:num w:numId="15">
    <w:abstractNumId w:val="12"/>
  </w:num>
  <w:num w:numId="16">
    <w:abstractNumId w:val="2"/>
  </w:num>
  <w:num w:numId="17">
    <w:abstractNumId w:val="4"/>
  </w:num>
  <w:num w:numId="18">
    <w:abstractNumId w:val="13"/>
  </w:num>
  <w:num w:numId="19">
    <w:abstractNumId w:val="8"/>
  </w:num>
  <w:num w:numId="20">
    <w:abstractNumId w:val="3"/>
  </w:num>
  <w:num w:numId="21">
    <w:abstractNumId w:val="11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823FB"/>
    <w:rsid w:val="000E7BDB"/>
    <w:rsid w:val="00147012"/>
    <w:rsid w:val="0015498E"/>
    <w:rsid w:val="00221E27"/>
    <w:rsid w:val="002C02A2"/>
    <w:rsid w:val="002C67E6"/>
    <w:rsid w:val="00402007"/>
    <w:rsid w:val="00415E99"/>
    <w:rsid w:val="00436E7E"/>
    <w:rsid w:val="004409C7"/>
    <w:rsid w:val="004F1D31"/>
    <w:rsid w:val="005C0CC2"/>
    <w:rsid w:val="005D5053"/>
    <w:rsid w:val="006221EF"/>
    <w:rsid w:val="006C4410"/>
    <w:rsid w:val="006E57CB"/>
    <w:rsid w:val="00707AC6"/>
    <w:rsid w:val="0071003C"/>
    <w:rsid w:val="00710852"/>
    <w:rsid w:val="007B6640"/>
    <w:rsid w:val="008120BA"/>
    <w:rsid w:val="008A7D47"/>
    <w:rsid w:val="00944988"/>
    <w:rsid w:val="00AE74D6"/>
    <w:rsid w:val="00B5388B"/>
    <w:rsid w:val="00B87392"/>
    <w:rsid w:val="00BC0DB7"/>
    <w:rsid w:val="00BD50A9"/>
    <w:rsid w:val="00C01B98"/>
    <w:rsid w:val="00C45D60"/>
    <w:rsid w:val="00C8008E"/>
    <w:rsid w:val="00C846CB"/>
    <w:rsid w:val="00E21E37"/>
    <w:rsid w:val="00E3619A"/>
    <w:rsid w:val="00EC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8D419-E2FD-4DF1-A174-58AA3CE4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EEAF-299C-4321-BBDF-D7F943B4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7</cp:revision>
  <dcterms:created xsi:type="dcterms:W3CDTF">2014-10-23T09:17:00Z</dcterms:created>
  <dcterms:modified xsi:type="dcterms:W3CDTF">2025-06-26T05:55:00Z</dcterms:modified>
</cp:coreProperties>
</file>